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94336" w14:textId="60C33F11" w:rsidR="00F24F3E" w:rsidRPr="009D3E34" w:rsidRDefault="00CC3889" w:rsidP="007D06C0">
      <w:pPr>
        <w:pStyle w:val="niksubtitle"/>
      </w:pPr>
      <w:bookmarkStart w:id="0" w:name="_Hlk88644399"/>
      <w:r w:rsidRPr="009D3E34">
        <w:t>Orchestration</w:t>
      </w:r>
      <w:r w:rsidR="00F24F3E" w:rsidRPr="009D3E34">
        <w:t xml:space="preserve"> and Consolidation in Corporate Sustainability Reporting</w:t>
      </w:r>
      <w:r w:rsidR="001B3EC8" w:rsidRPr="009D3E34">
        <w:t xml:space="preserve">. The </w:t>
      </w:r>
      <w:r w:rsidR="00A11FE8" w:rsidRPr="009D3E34">
        <w:t>Legacy</w:t>
      </w:r>
      <w:r w:rsidR="001B3EC8" w:rsidRPr="009D3E34">
        <w:t xml:space="preserve"> of the Corporate Reporting Dialogue</w:t>
      </w:r>
      <w:r w:rsidR="009D3E34">
        <w:rPr>
          <w:rStyle w:val="FootnoteReference"/>
        </w:rPr>
        <w:footnoteReference w:id="1"/>
      </w:r>
    </w:p>
    <w:bookmarkEnd w:id="0"/>
    <w:p w14:paraId="3941989C" w14:textId="2EDB6268" w:rsidR="009A2BF1" w:rsidRPr="009D3E34" w:rsidRDefault="009A2BF1" w:rsidP="00352281">
      <w:pPr>
        <w:pStyle w:val="niktext15"/>
        <w:spacing w:line="240" w:lineRule="auto"/>
        <w:rPr>
          <w:sz w:val="18"/>
        </w:rPr>
      </w:pPr>
      <w:r w:rsidRPr="009D3E34">
        <w:rPr>
          <w:sz w:val="18"/>
        </w:rPr>
        <w:t xml:space="preserve">N. Rowbottom </w:t>
      </w:r>
      <w:r w:rsidRPr="009D3E34">
        <w:rPr>
          <w:sz w:val="18"/>
        </w:rPr>
        <w:tab/>
      </w:r>
      <w:r w:rsidRPr="009D3E34">
        <w:rPr>
          <w:sz w:val="18"/>
        </w:rPr>
        <w:tab/>
      </w:r>
      <w:r w:rsidRPr="009D3E34">
        <w:rPr>
          <w:sz w:val="18"/>
        </w:rPr>
        <w:tab/>
      </w:r>
    </w:p>
    <w:p w14:paraId="01DE3F78" w14:textId="315AF11F" w:rsidR="009A2BF1" w:rsidRPr="009D3E34" w:rsidRDefault="009A2BF1" w:rsidP="00352281">
      <w:pPr>
        <w:pStyle w:val="niktext15"/>
        <w:spacing w:line="240" w:lineRule="auto"/>
        <w:rPr>
          <w:sz w:val="18"/>
        </w:rPr>
      </w:pPr>
      <w:r w:rsidRPr="009D3E34">
        <w:rPr>
          <w:sz w:val="18"/>
        </w:rPr>
        <w:t>Department of Accounting</w:t>
      </w:r>
      <w:r w:rsidRPr="009D3E34">
        <w:rPr>
          <w:sz w:val="18"/>
        </w:rPr>
        <w:tab/>
      </w:r>
      <w:r w:rsidRPr="009D3E34">
        <w:rPr>
          <w:sz w:val="18"/>
        </w:rPr>
        <w:tab/>
      </w:r>
    </w:p>
    <w:p w14:paraId="1B8C3567" w14:textId="08E0F4BA" w:rsidR="00FC0333" w:rsidRPr="009D3E34" w:rsidRDefault="009A2BF1" w:rsidP="00352281">
      <w:pPr>
        <w:pStyle w:val="niktext15"/>
        <w:spacing w:line="240" w:lineRule="auto"/>
        <w:rPr>
          <w:sz w:val="18"/>
        </w:rPr>
      </w:pPr>
      <w:r w:rsidRPr="009D3E34">
        <w:rPr>
          <w:sz w:val="18"/>
        </w:rPr>
        <w:t>Birmingham Business School</w:t>
      </w:r>
      <w:r w:rsidRPr="009D3E34">
        <w:rPr>
          <w:sz w:val="18"/>
        </w:rPr>
        <w:tab/>
      </w:r>
      <w:r w:rsidRPr="009D3E34">
        <w:rPr>
          <w:sz w:val="18"/>
        </w:rPr>
        <w:tab/>
      </w:r>
    </w:p>
    <w:p w14:paraId="103FED92" w14:textId="39193B78" w:rsidR="009A2BF1" w:rsidRPr="009D3E34" w:rsidRDefault="009A2BF1" w:rsidP="00352281">
      <w:pPr>
        <w:pStyle w:val="niktext15"/>
        <w:spacing w:line="240" w:lineRule="auto"/>
        <w:rPr>
          <w:sz w:val="18"/>
        </w:rPr>
      </w:pPr>
      <w:r w:rsidRPr="009D3E34">
        <w:rPr>
          <w:sz w:val="18"/>
        </w:rPr>
        <w:t>College of Social Sciences</w:t>
      </w:r>
      <w:r w:rsidRPr="009D3E34">
        <w:rPr>
          <w:sz w:val="18"/>
        </w:rPr>
        <w:tab/>
      </w:r>
      <w:r w:rsidRPr="009D3E34">
        <w:rPr>
          <w:sz w:val="18"/>
        </w:rPr>
        <w:tab/>
      </w:r>
    </w:p>
    <w:p w14:paraId="7F89AF76" w14:textId="2B4C497C" w:rsidR="009A2BF1" w:rsidRPr="009D3E34" w:rsidRDefault="009A2BF1" w:rsidP="00352281">
      <w:pPr>
        <w:pStyle w:val="niktext15"/>
        <w:spacing w:line="240" w:lineRule="auto"/>
        <w:rPr>
          <w:sz w:val="18"/>
        </w:rPr>
      </w:pPr>
      <w:r w:rsidRPr="009D3E34">
        <w:rPr>
          <w:sz w:val="18"/>
        </w:rPr>
        <w:t>University of Birmingham B15 2TT</w:t>
      </w:r>
      <w:r w:rsidRPr="009D3E34">
        <w:rPr>
          <w:sz w:val="18"/>
        </w:rPr>
        <w:tab/>
      </w:r>
    </w:p>
    <w:p w14:paraId="601D2F43" w14:textId="2A0C30BC" w:rsidR="009A2BF1" w:rsidRPr="009D3E34" w:rsidRDefault="009A2BF1" w:rsidP="00352281">
      <w:pPr>
        <w:pStyle w:val="niktext15"/>
        <w:spacing w:line="240" w:lineRule="auto"/>
        <w:rPr>
          <w:sz w:val="18"/>
        </w:rPr>
      </w:pPr>
      <w:r w:rsidRPr="009D3E34">
        <w:rPr>
          <w:sz w:val="18"/>
        </w:rPr>
        <w:t>UK</w:t>
      </w:r>
      <w:r w:rsidRPr="009D3E34">
        <w:rPr>
          <w:sz w:val="18"/>
        </w:rPr>
        <w:tab/>
      </w:r>
      <w:r w:rsidRPr="009D3E34">
        <w:rPr>
          <w:sz w:val="18"/>
        </w:rPr>
        <w:tab/>
      </w:r>
      <w:r w:rsidRPr="009D3E34">
        <w:rPr>
          <w:sz w:val="18"/>
        </w:rPr>
        <w:tab/>
      </w:r>
      <w:r w:rsidRPr="009D3E34">
        <w:rPr>
          <w:sz w:val="18"/>
        </w:rPr>
        <w:tab/>
      </w:r>
    </w:p>
    <w:p w14:paraId="404B46C3" w14:textId="180B3167" w:rsidR="00FC0333" w:rsidRPr="009D3E34" w:rsidRDefault="00910870" w:rsidP="009A2BF1">
      <w:pPr>
        <w:pStyle w:val="niktext15"/>
        <w:rPr>
          <w:sz w:val="20"/>
        </w:rPr>
      </w:pPr>
      <w:hyperlink r:id="rId8" w:history="1">
        <w:r w:rsidR="009A2BF1" w:rsidRPr="009D3E34">
          <w:rPr>
            <w:rStyle w:val="Hyperlink"/>
            <w:sz w:val="18"/>
          </w:rPr>
          <w:t>N.Rowbottom@bham.ac.uk</w:t>
        </w:r>
      </w:hyperlink>
      <w:r w:rsidR="009A2BF1" w:rsidRPr="009D3E34">
        <w:rPr>
          <w:sz w:val="22"/>
        </w:rPr>
        <w:tab/>
      </w:r>
      <w:r w:rsidR="009A2BF1" w:rsidRPr="009D3E34">
        <w:rPr>
          <w:sz w:val="22"/>
        </w:rPr>
        <w:tab/>
      </w:r>
    </w:p>
    <w:p w14:paraId="5C770DE6" w14:textId="77777777" w:rsidR="002676D5" w:rsidRDefault="002676D5" w:rsidP="005A5166">
      <w:pPr>
        <w:pStyle w:val="niktext15"/>
      </w:pPr>
    </w:p>
    <w:p w14:paraId="417AB974" w14:textId="1013A394" w:rsidR="00FC0333" w:rsidRPr="009D3E34" w:rsidRDefault="009D3E34" w:rsidP="005A5166">
      <w:pPr>
        <w:pStyle w:val="niktext15"/>
      </w:pPr>
      <w:r w:rsidRPr="009D3E34">
        <w:t xml:space="preserve">Published in </w:t>
      </w:r>
      <w:r w:rsidRPr="009D3E34">
        <w:t xml:space="preserve">Accounting, Auditing &amp; Accountability Journal, </w:t>
      </w:r>
      <w:hyperlink r:id="rId9" w:history="1">
        <w:r w:rsidRPr="009D3E34">
          <w:rPr>
            <w:rStyle w:val="Hyperlink"/>
          </w:rPr>
          <w:t>https://doi.org/10.1108/AAAJ-06-2021-5330</w:t>
        </w:r>
      </w:hyperlink>
    </w:p>
    <w:p w14:paraId="0A9ABAB6" w14:textId="77777777" w:rsidR="009D3E34" w:rsidRPr="009D3E34" w:rsidRDefault="009D3E34" w:rsidP="005A5166">
      <w:pPr>
        <w:pStyle w:val="niktext15"/>
      </w:pPr>
    </w:p>
    <w:p w14:paraId="36B509EB" w14:textId="5E5D260A" w:rsidR="009D3E34" w:rsidRDefault="009D3E34" w:rsidP="005A5166">
      <w:pPr>
        <w:pStyle w:val="niktext15"/>
      </w:pPr>
      <w:r w:rsidRPr="009D3E34">
        <w:t xml:space="preserve">Rowbottom, N. (forthcoming), "Orchestration and Consolidation in Corporate Sustainability Reporting. The Legacy of the Corporate Reporting Dialogue", Accounting, Auditing &amp; Accountability Journal, </w:t>
      </w:r>
      <w:hyperlink r:id="rId10" w:history="1">
        <w:r w:rsidRPr="009D3E34">
          <w:rPr>
            <w:rStyle w:val="Hyperlink"/>
          </w:rPr>
          <w:t>https://doi.org/10.1108/AAAJ-06-2021-5330</w:t>
        </w:r>
      </w:hyperlink>
      <w:r w:rsidRPr="009D3E34">
        <w:t xml:space="preserve"> </w:t>
      </w:r>
    </w:p>
    <w:p w14:paraId="368946A5" w14:textId="4B67E8D4" w:rsidR="002676D5" w:rsidRDefault="002676D5">
      <w:pPr>
        <w:rPr>
          <w:sz w:val="24"/>
        </w:rPr>
      </w:pPr>
      <w:r>
        <w:br w:type="page"/>
      </w:r>
    </w:p>
    <w:p w14:paraId="0D139D66" w14:textId="24C903D8" w:rsidR="007D06C0" w:rsidRPr="009D3E34" w:rsidRDefault="009A2BF1" w:rsidP="009A2BF1">
      <w:pPr>
        <w:pStyle w:val="niksubtitle"/>
      </w:pPr>
      <w:r w:rsidRPr="009D3E34">
        <w:lastRenderedPageBreak/>
        <w:t>Abstract</w:t>
      </w:r>
      <w:r w:rsidR="000967AC" w:rsidRPr="009D3E34">
        <w:t xml:space="preserve"> </w:t>
      </w:r>
    </w:p>
    <w:p w14:paraId="33A97BFC" w14:textId="77777777" w:rsidR="005846B1" w:rsidRPr="009D3E34" w:rsidRDefault="005846B1" w:rsidP="00352281">
      <w:pPr>
        <w:pStyle w:val="niktext15"/>
        <w:spacing w:line="240" w:lineRule="auto"/>
      </w:pPr>
      <w:bookmarkStart w:id="1" w:name="_Hlk96952592"/>
      <w:r w:rsidRPr="009D3E34">
        <w:t>Purpose</w:t>
      </w:r>
    </w:p>
    <w:p w14:paraId="2F2295C9" w14:textId="2DBC3463" w:rsidR="00814F8B" w:rsidRPr="009D3E34" w:rsidRDefault="00814F8B" w:rsidP="00E86476">
      <w:pPr>
        <w:pStyle w:val="nikoneindenttext15"/>
        <w:spacing w:line="240" w:lineRule="auto"/>
      </w:pPr>
      <w:r w:rsidRPr="009D3E34">
        <w:t>The paper uses theoretical conceptions of power and orchestration to analyse the role of the Corporate Reporting Dialogue on the global standardisation of sustainability reporting.</w:t>
      </w:r>
    </w:p>
    <w:p w14:paraId="0C01C9CB" w14:textId="77777777" w:rsidR="00814F8B" w:rsidRPr="009D3E34" w:rsidRDefault="00814F8B" w:rsidP="00E86476">
      <w:pPr>
        <w:pStyle w:val="niktext15"/>
        <w:spacing w:line="240" w:lineRule="auto"/>
      </w:pPr>
    </w:p>
    <w:p w14:paraId="08064725" w14:textId="5CD900D5" w:rsidR="005846B1" w:rsidRPr="009D3E34" w:rsidRDefault="005846B1" w:rsidP="00352281">
      <w:pPr>
        <w:pStyle w:val="niktext15"/>
        <w:spacing w:line="240" w:lineRule="auto"/>
      </w:pPr>
      <w:r w:rsidRPr="009D3E34">
        <w:t>Design</w:t>
      </w:r>
    </w:p>
    <w:p w14:paraId="5883F103" w14:textId="7EDC9A04" w:rsidR="003C0F25" w:rsidRPr="009D3E34" w:rsidRDefault="00814F8B" w:rsidP="00352281">
      <w:pPr>
        <w:pStyle w:val="nikoneindenttext15"/>
        <w:spacing w:line="240" w:lineRule="auto"/>
      </w:pPr>
      <w:r w:rsidRPr="009D3E34">
        <w:t>The paper adopts an interpretive approach and draws on a qualitative dataset derived from interviews, documentary analysis and observation.</w:t>
      </w:r>
    </w:p>
    <w:p w14:paraId="700D8C2D" w14:textId="77777777" w:rsidR="00814F8B" w:rsidRPr="009D3E34" w:rsidRDefault="00814F8B" w:rsidP="00352281">
      <w:pPr>
        <w:pStyle w:val="nikoneindenttext15"/>
        <w:spacing w:line="240" w:lineRule="auto"/>
      </w:pPr>
    </w:p>
    <w:p w14:paraId="73E40CB0" w14:textId="77777777" w:rsidR="005846B1" w:rsidRPr="009D3E34" w:rsidRDefault="005846B1" w:rsidP="00352281">
      <w:pPr>
        <w:pStyle w:val="niktext15"/>
        <w:spacing w:line="240" w:lineRule="auto"/>
      </w:pPr>
      <w:r w:rsidRPr="009D3E34">
        <w:t>Findings</w:t>
      </w:r>
    </w:p>
    <w:p w14:paraId="3345B208" w14:textId="2DB76426" w:rsidR="00814F8B" w:rsidRPr="009D3E34" w:rsidRDefault="00814F8B" w:rsidP="00814F8B">
      <w:pPr>
        <w:pStyle w:val="nikoneindenttext15"/>
        <w:spacing w:line="240" w:lineRule="auto"/>
      </w:pPr>
      <w:r w:rsidRPr="009D3E34">
        <w:t xml:space="preserve">The paper traces how the Corporate Reporting Dialogue was orchestrated by the International Integrated Reporting Council, with the objective of aligning sustainability reporting standards, but moved to become a vehicle for orchestrating standards consistent with the recommendations of the Task Force for Climate-Related Financial Disclosure. Collaboration between the Dialogue’s five most active bodies forged the blueprint adopted by the International Sustainability Standards Board’s vision of sustainability reporting that prioritised reporting only </w:t>
      </w:r>
      <w:r w:rsidR="00F0551B" w:rsidRPr="009D3E34">
        <w:t xml:space="preserve">on </w:t>
      </w:r>
      <w:r w:rsidR="006F6246" w:rsidRPr="009D3E34">
        <w:t>those socio-ecological issues</w:t>
      </w:r>
      <w:r w:rsidRPr="009D3E34">
        <w:t xml:space="preserve"> deemed to materially affect future enterprise value.</w:t>
      </w:r>
      <w:bookmarkEnd w:id="1"/>
    </w:p>
    <w:p w14:paraId="4EFD3EA0" w14:textId="4122F7DD" w:rsidR="002622B8" w:rsidRPr="009D3E34" w:rsidRDefault="002622B8" w:rsidP="00FD667D">
      <w:pPr>
        <w:pStyle w:val="nikoneindenttext15"/>
        <w:spacing w:line="240" w:lineRule="auto"/>
      </w:pPr>
    </w:p>
    <w:p w14:paraId="758BBBAA" w14:textId="588E42AE" w:rsidR="00814F8B" w:rsidRPr="009D3E34" w:rsidRDefault="00814F8B" w:rsidP="00E86476">
      <w:pPr>
        <w:pStyle w:val="niktext15"/>
        <w:spacing w:line="240" w:lineRule="auto"/>
      </w:pPr>
      <w:r w:rsidRPr="009D3E34">
        <w:t>Originality</w:t>
      </w:r>
    </w:p>
    <w:p w14:paraId="4BD2E3DC" w14:textId="77777777" w:rsidR="00E86476" w:rsidRPr="009D3E34" w:rsidRDefault="00E86476" w:rsidP="00E86476">
      <w:pPr>
        <w:pStyle w:val="nikoneindenttext15"/>
        <w:spacing w:line="240" w:lineRule="auto"/>
      </w:pPr>
      <w:r w:rsidRPr="009D3E34">
        <w:t>The paper explicates the role of collaborative initiatives in the standardisation of sustainability reporting and shows how these initiatives act as vehicles to subtly undermine the GRI position (presented as one standardiser amongst many whose vision appears as an outlier, despite its position as the dominant sustainability reporting standardiser</w:t>
      </w:r>
      <w:proofErr w:type="gramStart"/>
      <w:r w:rsidRPr="009D3E34">
        <w:t>), and</w:t>
      </w:r>
      <w:proofErr w:type="gramEnd"/>
      <w:r w:rsidRPr="009D3E34">
        <w:t xml:space="preserve"> establish the prioritisation of a sustainability reporting worldview based on investor-oriented enterprise value creation. The case also draws attention to the specific orchestrators involved in establishing this </w:t>
      </w:r>
      <w:proofErr w:type="gramStart"/>
      <w:r w:rsidRPr="009D3E34">
        <w:t>prioritisation, and</w:t>
      </w:r>
      <w:proofErr w:type="gramEnd"/>
      <w:r w:rsidRPr="009D3E34">
        <w:t xml:space="preserve"> reveals the influence of philanthropic foundations.</w:t>
      </w:r>
    </w:p>
    <w:p w14:paraId="64A0DF68" w14:textId="7BEDADC5" w:rsidR="00E86476" w:rsidRPr="009D3E34" w:rsidRDefault="00E86476" w:rsidP="00E86476">
      <w:pPr>
        <w:pStyle w:val="niktext15"/>
        <w:spacing w:line="240" w:lineRule="auto"/>
      </w:pPr>
      <w:r w:rsidRPr="009D3E34">
        <w:t xml:space="preserve">In doing so, it extends our understanding of legitimacy generation in standard-setting by showing how collaborative initiatives offer </w:t>
      </w:r>
      <w:r w:rsidR="00E064D0" w:rsidRPr="009D3E34">
        <w:t xml:space="preserve">private standardisers </w:t>
      </w:r>
      <w:r w:rsidRPr="009D3E34">
        <w:t>another means to generate input legitimacy</w:t>
      </w:r>
      <w:r w:rsidR="00F0551B" w:rsidRPr="009D3E34">
        <w:t xml:space="preserve"> for what, in this case, represented a vision of reporting at odds with most sustainability reporting practice</w:t>
      </w:r>
      <w:r w:rsidRPr="009D3E34">
        <w:t>.</w:t>
      </w:r>
      <w:r w:rsidR="00E064D0" w:rsidRPr="009D3E34">
        <w:t xml:space="preserve"> </w:t>
      </w:r>
      <w:r w:rsidRPr="009D3E34">
        <w:t xml:space="preserve">Finally, the paper extends the sites of power to collaborative initiatives and details the mechanisms through which covert power is exercised but also masked where orchestrators use convening power, </w:t>
      </w:r>
      <w:proofErr w:type="gramStart"/>
      <w:r w:rsidRPr="009D3E34">
        <w:t>funding</w:t>
      </w:r>
      <w:proofErr w:type="gramEnd"/>
      <w:r w:rsidRPr="009D3E34">
        <w:t xml:space="preserve"> and membership choices to define the boundaries of discussion by influencing who participates, what is on the agenda and what activity is undertaken. Rather than viewing standardisation as a simple pursuit of conquest between individual standardisers, the paper considers how collaboration provides the opportunity for assimilation.</w:t>
      </w:r>
    </w:p>
    <w:p w14:paraId="35CAA99D" w14:textId="1E6EDD51" w:rsidR="002676D5" w:rsidRDefault="002676D5">
      <w:pPr>
        <w:rPr>
          <w:sz w:val="24"/>
        </w:rPr>
      </w:pPr>
      <w:r>
        <w:br w:type="page"/>
      </w:r>
    </w:p>
    <w:p w14:paraId="448A11BE" w14:textId="0248941C" w:rsidR="00AD64DF" w:rsidRPr="009D3E34" w:rsidRDefault="001B1E84" w:rsidP="00E0093B">
      <w:pPr>
        <w:pStyle w:val="Heading1"/>
      </w:pPr>
      <w:r w:rsidRPr="009D3E34">
        <w:lastRenderedPageBreak/>
        <w:t xml:space="preserve">1. </w:t>
      </w:r>
      <w:r w:rsidR="00F3404F" w:rsidRPr="009D3E34">
        <w:t>Introduction</w:t>
      </w:r>
    </w:p>
    <w:p w14:paraId="7C144C55" w14:textId="3E62669B" w:rsidR="00C026F3" w:rsidRPr="009D3E34" w:rsidRDefault="00B74665" w:rsidP="00786333">
      <w:pPr>
        <w:pStyle w:val="nikoneindenttext15"/>
      </w:pPr>
      <w:r w:rsidRPr="009D3E34">
        <w:t xml:space="preserve">The </w:t>
      </w:r>
      <w:r w:rsidR="00693017" w:rsidRPr="009D3E34">
        <w:t>methods</w:t>
      </w:r>
      <w:r w:rsidRPr="009D3E34">
        <w:t xml:space="preserve"> by which we can judge how companies affect or contribute to sustainable development remains an unresolved issue. </w:t>
      </w:r>
      <w:r w:rsidR="007E4227" w:rsidRPr="009D3E34">
        <w:t>Corporate sustainability reporting</w:t>
      </w:r>
      <w:r w:rsidR="00457F32" w:rsidRPr="009D3E34">
        <w:rPr>
          <w:rStyle w:val="FootnoteReference"/>
        </w:rPr>
        <w:footnoteReference w:id="2"/>
      </w:r>
      <w:r w:rsidR="007E4227" w:rsidRPr="009D3E34">
        <w:t xml:space="preserve"> standards provide a means to make comparative judgements and </w:t>
      </w:r>
      <w:r w:rsidR="009C1AEE" w:rsidRPr="009D3E34">
        <w:t xml:space="preserve">induce </w:t>
      </w:r>
      <w:r w:rsidR="007E4227" w:rsidRPr="009D3E34">
        <w:t>behaviour</w:t>
      </w:r>
      <w:r w:rsidR="009C1AEE" w:rsidRPr="009D3E34">
        <w:t>al changes</w:t>
      </w:r>
      <w:r w:rsidR="007E4227" w:rsidRPr="009D3E34">
        <w:t xml:space="preserve"> to those conducive to continued </w:t>
      </w:r>
      <w:r w:rsidR="00D065CC" w:rsidRPr="009D3E34">
        <w:t>social and ecological flourishing</w:t>
      </w:r>
      <w:r w:rsidR="007E4227" w:rsidRPr="009D3E34">
        <w:t xml:space="preserve">. </w:t>
      </w:r>
      <w:r w:rsidR="00127403" w:rsidRPr="009D3E34">
        <w:t xml:space="preserve">Since the 1992 </w:t>
      </w:r>
      <w:r w:rsidR="00F0551B" w:rsidRPr="009D3E34">
        <w:t>UN</w:t>
      </w:r>
      <w:r w:rsidR="00A838B2" w:rsidRPr="009D3E34">
        <w:t xml:space="preserve"> Conference on Environment and Development </w:t>
      </w:r>
      <w:r w:rsidR="00127403" w:rsidRPr="009D3E34">
        <w:t>called for non-state actors to participate</w:t>
      </w:r>
      <w:r w:rsidR="00790A2C" w:rsidRPr="009D3E34">
        <w:t xml:space="preserve"> in addressing sustainable development</w:t>
      </w:r>
      <w:r w:rsidR="00127403" w:rsidRPr="009D3E34">
        <w:t xml:space="preserve">, a </w:t>
      </w:r>
      <w:r w:rsidR="008F017B" w:rsidRPr="009D3E34">
        <w:t>variety</w:t>
      </w:r>
      <w:r w:rsidR="00127403" w:rsidRPr="009D3E34">
        <w:t xml:space="preserve"> of different non-statutory, </w:t>
      </w:r>
      <w:bookmarkStart w:id="3" w:name="_Hlk110609003"/>
      <w:r w:rsidR="00127403" w:rsidRPr="009D3E34">
        <w:t>private</w:t>
      </w:r>
      <w:r w:rsidR="00E0655F" w:rsidRPr="009D3E34">
        <w:t>-sector</w:t>
      </w:r>
      <w:r w:rsidR="00127403" w:rsidRPr="009D3E34">
        <w:t xml:space="preserve"> </w:t>
      </w:r>
      <w:r w:rsidR="002016AE" w:rsidRPr="009D3E34">
        <w:t xml:space="preserve">reporting </w:t>
      </w:r>
      <w:r w:rsidR="0018337E" w:rsidRPr="009D3E34">
        <w:t>standardisers</w:t>
      </w:r>
      <w:bookmarkStart w:id="4" w:name="_Hlk110609025"/>
      <w:r w:rsidR="0018337E" w:rsidRPr="009D3E34">
        <w:rPr>
          <w:rStyle w:val="FootnoteReference"/>
        </w:rPr>
        <w:footnoteReference w:id="3"/>
      </w:r>
      <w:bookmarkEnd w:id="4"/>
      <w:r w:rsidR="00127403" w:rsidRPr="009D3E34">
        <w:t xml:space="preserve"> have come into existence</w:t>
      </w:r>
      <w:bookmarkEnd w:id="3"/>
      <w:r w:rsidR="00127403" w:rsidRPr="009D3E34">
        <w:t xml:space="preserve"> that accompany State and UN-backed initiatives (</w:t>
      </w:r>
      <w:proofErr w:type="spellStart"/>
      <w:r w:rsidR="00127403" w:rsidRPr="009D3E34">
        <w:t>Bendell</w:t>
      </w:r>
      <w:proofErr w:type="spellEnd"/>
      <w:r w:rsidR="00127403" w:rsidRPr="009D3E34">
        <w:t xml:space="preserve"> et al., 2011; </w:t>
      </w:r>
      <w:proofErr w:type="spellStart"/>
      <w:r w:rsidR="00127403" w:rsidRPr="009D3E34">
        <w:t>Thistlethwaite</w:t>
      </w:r>
      <w:proofErr w:type="spellEnd"/>
      <w:r w:rsidR="00127403" w:rsidRPr="009D3E34">
        <w:t xml:space="preserve"> &amp; Paterson, 2016).</w:t>
      </w:r>
      <w:r w:rsidR="00226FAE" w:rsidRPr="009D3E34">
        <w:t xml:space="preserve"> </w:t>
      </w:r>
      <w:bookmarkStart w:id="5" w:name="_Hlk110609047"/>
      <w:r w:rsidR="0018337E" w:rsidRPr="009D3E34">
        <w:t>Consequently</w:t>
      </w:r>
      <w:r w:rsidR="00C026F3" w:rsidRPr="009D3E34">
        <w:t xml:space="preserve">, </w:t>
      </w:r>
      <w:r w:rsidR="00D56F1E" w:rsidRPr="009D3E34">
        <w:t>a</w:t>
      </w:r>
      <w:r w:rsidR="00786333" w:rsidRPr="009D3E34">
        <w:t xml:space="preserve"> lack of convergence over visions of corporate accountability </w:t>
      </w:r>
      <w:r w:rsidR="0018337E" w:rsidRPr="009D3E34">
        <w:t>has led to</w:t>
      </w:r>
      <w:r w:rsidR="00786333" w:rsidRPr="009D3E34">
        <w:t xml:space="preserve"> an </w:t>
      </w:r>
      <w:bookmarkEnd w:id="5"/>
      <w:r w:rsidR="00786333" w:rsidRPr="009D3E34">
        <w:t xml:space="preserve">array of frameworks, </w:t>
      </w:r>
      <w:r w:rsidR="00AD03C6" w:rsidRPr="009D3E34">
        <w:t>guidelines</w:t>
      </w:r>
      <w:r w:rsidR="00DD7681" w:rsidRPr="009D3E34">
        <w:t xml:space="preserve">, </w:t>
      </w:r>
      <w:proofErr w:type="gramStart"/>
      <w:r w:rsidR="00786333" w:rsidRPr="009D3E34">
        <w:t>standards</w:t>
      </w:r>
      <w:proofErr w:type="gramEnd"/>
      <w:r w:rsidR="00786333" w:rsidRPr="009D3E34">
        <w:t xml:space="preserve"> and reporting initiatives seeking to standardise what corporations should be accountable for, who they should be accountable to, and how they should report on their accountability.</w:t>
      </w:r>
    </w:p>
    <w:p w14:paraId="6A6F534F" w14:textId="4DFDD9CE" w:rsidR="00AE0974" w:rsidRPr="009D3E34" w:rsidRDefault="00AE0974" w:rsidP="00AE0974">
      <w:pPr>
        <w:pStyle w:val="nikoneindenttext15"/>
      </w:pPr>
      <w:r w:rsidRPr="009D3E34">
        <w:t>Th</w:t>
      </w:r>
      <w:r w:rsidR="0094349C" w:rsidRPr="009D3E34">
        <w:t>is</w:t>
      </w:r>
      <w:r w:rsidRPr="009D3E34">
        <w:t xml:space="preserve"> sustainability reporting arena ha</w:t>
      </w:r>
      <w:r w:rsidR="0094349C" w:rsidRPr="009D3E34">
        <w:t>d</w:t>
      </w:r>
      <w:r w:rsidRPr="009D3E34">
        <w:t xml:space="preserve"> been populated by the GRI</w:t>
      </w:r>
      <w:r w:rsidR="00211ACD" w:rsidRPr="009D3E34">
        <w:rPr>
          <w:rStyle w:val="FootnoteReference"/>
        </w:rPr>
        <w:footnoteReference w:id="4"/>
      </w:r>
      <w:r w:rsidRPr="009D3E34">
        <w:t xml:space="preserve"> since its inception in 1997 alongside bodies including the UN Global Compact (that sought commitment to, and reporting on specific UN-related </w:t>
      </w:r>
      <w:r w:rsidR="00A256D9" w:rsidRPr="009D3E34">
        <w:t>policies</w:t>
      </w:r>
      <w:r w:rsidRPr="009D3E34">
        <w:t xml:space="preserve"> from 2000)</w:t>
      </w:r>
      <w:r w:rsidR="00DB3AA3" w:rsidRPr="009D3E34">
        <w:t>,</w:t>
      </w:r>
      <w:r w:rsidRPr="009D3E34">
        <w:t xml:space="preserve"> the CDP (that sought to systematically gather carbon cycle data consistent with the GRI from 2000) and others (for example, Accounting for Sustainability, the Organisation for Economic Co-operation and Development) (</w:t>
      </w:r>
      <w:r w:rsidR="007B17C3" w:rsidRPr="009D3E34">
        <w:t xml:space="preserve">Larrinaga-Gonzalez, 2007; </w:t>
      </w:r>
      <w:r w:rsidRPr="009D3E34">
        <w:t xml:space="preserve">Brown et al., 2009; </w:t>
      </w:r>
      <w:r w:rsidRPr="009D3E34">
        <w:rPr>
          <w:szCs w:val="24"/>
        </w:rPr>
        <w:t xml:space="preserve">Etzion &amp; Ferraro, 2010; </w:t>
      </w:r>
      <w:r w:rsidRPr="009D3E34">
        <w:t xml:space="preserve">Levy et al., 2010; </w:t>
      </w:r>
      <w:proofErr w:type="spellStart"/>
      <w:r w:rsidRPr="009D3E34">
        <w:t>Albareda</w:t>
      </w:r>
      <w:proofErr w:type="spellEnd"/>
      <w:r w:rsidRPr="009D3E34">
        <w:t>, 2013</w:t>
      </w:r>
      <w:r w:rsidR="00CB4786" w:rsidRPr="009D3E34">
        <w:t>; Larrinaga &amp; Bebbington</w:t>
      </w:r>
      <w:r w:rsidR="007B17C3" w:rsidRPr="009D3E34">
        <w:t>, 2021</w:t>
      </w:r>
      <w:r w:rsidRPr="009D3E34">
        <w:t xml:space="preserve">). In the four years between 2007 and 2011, several new </w:t>
      </w:r>
      <w:r w:rsidR="002A5241" w:rsidRPr="009D3E34">
        <w:t xml:space="preserve">private </w:t>
      </w:r>
      <w:r w:rsidRPr="009D3E34">
        <w:t>standardisers entered the arena. The CDSB was developed in 2007 and aimed to harmonise corporate disclosures on climate change. The IIRC was formed in 2010 and offered a ‘multi-capital’ reporting framework. The ISO published ISO 26000 ‘Guidance on social responsibility’ in November 2010 after 5 years in development. Finally, in 2011, the SASB was established.</w:t>
      </w:r>
    </w:p>
    <w:p w14:paraId="496E6372" w14:textId="625E0BBC" w:rsidR="00160A44" w:rsidRPr="009D3E34" w:rsidRDefault="00160A44" w:rsidP="00160A44">
      <w:pPr>
        <w:pStyle w:val="nikoneindenttext15"/>
      </w:pPr>
      <w:r w:rsidRPr="009D3E34">
        <w:t>Over time</w:t>
      </w:r>
      <w:r w:rsidR="00097903" w:rsidRPr="009D3E34">
        <w:t xml:space="preserve">, the </w:t>
      </w:r>
      <w:r w:rsidRPr="009D3E34">
        <w:t xml:space="preserve">proliferation of standardisers </w:t>
      </w:r>
      <w:r w:rsidR="00097903" w:rsidRPr="009D3E34">
        <w:t xml:space="preserve">became to be viewed as problematic </w:t>
      </w:r>
      <w:r w:rsidRPr="009D3E34">
        <w:t xml:space="preserve">and </w:t>
      </w:r>
      <w:r w:rsidR="00097903" w:rsidRPr="009D3E34">
        <w:t xml:space="preserve">common nomenclature developed to describe sustainability reporting as “a confused and complex reporting landscape” (Guthrie, 2016:7), or an ‘alphabet soup’ that was fragmented and </w:t>
      </w:r>
      <w:r w:rsidR="00097903" w:rsidRPr="009D3E34">
        <w:lastRenderedPageBreak/>
        <w:t>incomplete (IMA, 2011; FEE, 2015; TCFD, 2016).</w:t>
      </w:r>
      <w:r w:rsidR="00AE0974" w:rsidRPr="009D3E34">
        <w:t xml:space="preserve"> </w:t>
      </w:r>
      <w:r w:rsidRPr="009D3E34">
        <w:t>By 2017, the World Business Council for Sustainable Development had estimated that there were 2,000 initiatives to report non-financial information in corporate reports, whilst the Reporting Exchange identified 1,400 different indicators (Accountancy Europe, 2017). IFRS Foundation staff noted that the myriad of “frameworks, standards, goals and codes and the challenges that this brings means that there is a deficiency in this aspect of financial reporting that needs to be addressed” (IASB, 2017a:18).</w:t>
      </w:r>
    </w:p>
    <w:p w14:paraId="1C46DE89" w14:textId="4CF51219" w:rsidR="00160A44" w:rsidRPr="009D3E34" w:rsidRDefault="00160A44" w:rsidP="00160A44">
      <w:pPr>
        <w:pStyle w:val="nikoneindenttext15"/>
      </w:pPr>
      <w:r w:rsidRPr="009D3E34">
        <w:t xml:space="preserve">This environment created pressure for standardisers to address the confused landscape through forms of coordination, </w:t>
      </w:r>
      <w:proofErr w:type="gramStart"/>
      <w:r w:rsidRPr="009D3E34">
        <w:t>alignment</w:t>
      </w:r>
      <w:proofErr w:type="gramEnd"/>
      <w:r w:rsidRPr="009D3E34">
        <w:t xml:space="preserve"> and collaboration. </w:t>
      </w:r>
      <w:r w:rsidR="00DB3AA3" w:rsidRPr="009D3E34">
        <w:t>As</w:t>
      </w:r>
      <w:r w:rsidR="00D85130" w:rsidRPr="009D3E34">
        <w:t xml:space="preserve"> </w:t>
      </w:r>
      <w:r w:rsidR="00593C37" w:rsidRPr="009D3E34">
        <w:t>IFAC (2013:6)</w:t>
      </w:r>
      <w:r w:rsidR="00DB3AA3" w:rsidRPr="009D3E34">
        <w:t xml:space="preserve"> noted,</w:t>
      </w:r>
      <w:r w:rsidR="00593C37" w:rsidRPr="009D3E34">
        <w:t xml:space="preserve"> “the challenges associated with convergence of financial reporting requirements in the last decade provides a sound reason for all parties to aim to agree on a consensus, or at least the identification of the relationships and consistency between the different frameworks, at the earliest possible time”.</w:t>
      </w:r>
    </w:p>
    <w:p w14:paraId="45D0947D" w14:textId="5D64E083" w:rsidR="007236BB" w:rsidRPr="009D3E34" w:rsidRDefault="00A256D9" w:rsidP="0024667E">
      <w:pPr>
        <w:pStyle w:val="nikoneindenttext15"/>
      </w:pPr>
      <w:r w:rsidRPr="009D3E34">
        <w:t>As a response, standardisers actively sought to show how their requirements were linked and a plethora of collaborative endeavours have been established in recent years.</w:t>
      </w:r>
      <w:r w:rsidR="00552FA6" w:rsidRPr="009D3E34">
        <w:t xml:space="preserve"> </w:t>
      </w:r>
      <w:r w:rsidR="00EC479E" w:rsidRPr="009D3E34">
        <w:t>The</w:t>
      </w:r>
      <w:r w:rsidRPr="009D3E34">
        <w:t xml:space="preserve"> wave of collaborative standardising initiatives commenced with the emergence of the Corporate Reporting Dialogue in 2014, that aimed to engage standardisers to drive ‘alignment’ between ‘sustainability’ or ‘non-financial’ reporting frameworks.</w:t>
      </w:r>
      <w:r w:rsidR="007236BB" w:rsidRPr="009D3E34">
        <w:t xml:space="preserve"> </w:t>
      </w:r>
      <w:r w:rsidR="003E15B1" w:rsidRPr="009D3E34">
        <w:t>This</w:t>
      </w:r>
      <w:r w:rsidR="007236BB" w:rsidRPr="009D3E34">
        <w:t xml:space="preserve"> was followed by further </w:t>
      </w:r>
      <w:r w:rsidR="003E15B1" w:rsidRPr="009D3E34">
        <w:t xml:space="preserve">collaborative </w:t>
      </w:r>
      <w:r w:rsidR="007236BB" w:rsidRPr="009D3E34">
        <w:t>initiatives that sought to align</w:t>
      </w:r>
      <w:r w:rsidR="003E15B1" w:rsidRPr="009D3E34">
        <w:t>, consolidate</w:t>
      </w:r>
      <w:r w:rsidR="007236BB" w:rsidRPr="009D3E34">
        <w:t xml:space="preserve"> </w:t>
      </w:r>
      <w:r w:rsidR="003E15B1" w:rsidRPr="009D3E34">
        <w:t>and</w:t>
      </w:r>
      <w:r w:rsidR="007236BB" w:rsidRPr="009D3E34">
        <w:t xml:space="preserve"> </w:t>
      </w:r>
      <w:r w:rsidR="00FF28E1" w:rsidRPr="009D3E34">
        <w:t xml:space="preserve">offer </w:t>
      </w:r>
      <w:r w:rsidR="00474C28" w:rsidRPr="009D3E34">
        <w:t xml:space="preserve">a </w:t>
      </w:r>
      <w:r w:rsidR="00FF28E1" w:rsidRPr="009D3E34">
        <w:t>consensus around</w:t>
      </w:r>
      <w:r w:rsidR="007236BB" w:rsidRPr="009D3E34">
        <w:t xml:space="preserve"> specific visions of sustainability reporting</w:t>
      </w:r>
      <w:r w:rsidR="003E15B1" w:rsidRPr="009D3E34">
        <w:t xml:space="preserve"> </w:t>
      </w:r>
      <w:r w:rsidR="007236BB" w:rsidRPr="009D3E34">
        <w:t xml:space="preserve">from </w:t>
      </w:r>
      <w:r w:rsidR="00CB7723" w:rsidRPr="009D3E34">
        <w:t xml:space="preserve">the Value Balancing Alliance in 2019 (Capitals Coalition, 2020), </w:t>
      </w:r>
      <w:r w:rsidR="007236BB" w:rsidRPr="009D3E34">
        <w:t>the World Economic Forum’s International Business Council</w:t>
      </w:r>
      <w:r w:rsidR="00474C28" w:rsidRPr="009D3E34">
        <w:t xml:space="preserve"> </w:t>
      </w:r>
      <w:r w:rsidR="00CB7723" w:rsidRPr="009D3E34">
        <w:t xml:space="preserve">in 2020 </w:t>
      </w:r>
      <w:r w:rsidR="00474C28" w:rsidRPr="009D3E34">
        <w:t>(WEF, 2020)</w:t>
      </w:r>
      <w:r w:rsidR="007236BB" w:rsidRPr="009D3E34">
        <w:t xml:space="preserve">, </w:t>
      </w:r>
      <w:r w:rsidR="00287513" w:rsidRPr="009D3E34">
        <w:t xml:space="preserve">the Impact Weighted Accounts </w:t>
      </w:r>
      <w:r w:rsidR="00CB7723" w:rsidRPr="009D3E34">
        <w:t xml:space="preserve">Project in 2020 </w:t>
      </w:r>
      <w:r w:rsidR="00474C28" w:rsidRPr="009D3E34">
        <w:t>(</w:t>
      </w:r>
      <w:proofErr w:type="spellStart"/>
      <w:r w:rsidR="00474C28" w:rsidRPr="009D3E34">
        <w:t>Serafeim</w:t>
      </w:r>
      <w:proofErr w:type="spellEnd"/>
      <w:r w:rsidR="00474C28" w:rsidRPr="009D3E34">
        <w:t xml:space="preserve"> et al., 2020)</w:t>
      </w:r>
      <w:r w:rsidR="00287513" w:rsidRPr="009D3E34">
        <w:t xml:space="preserve">, </w:t>
      </w:r>
      <w:r w:rsidR="00015A75" w:rsidRPr="009D3E34">
        <w:t xml:space="preserve">alongside the formation of </w:t>
      </w:r>
      <w:r w:rsidR="007236BB" w:rsidRPr="009D3E34">
        <w:t xml:space="preserve">the Value Reporting Foundation </w:t>
      </w:r>
      <w:r w:rsidR="00015A75" w:rsidRPr="009D3E34">
        <w:t xml:space="preserve">and its utilisation by </w:t>
      </w:r>
      <w:r w:rsidR="007236BB" w:rsidRPr="009D3E34">
        <w:t xml:space="preserve">the IFRS Foundation’s International Sustainability Standards Board, and the </w:t>
      </w:r>
      <w:r w:rsidR="00015A75" w:rsidRPr="009D3E34">
        <w:t>development</w:t>
      </w:r>
      <w:r w:rsidR="007236BB" w:rsidRPr="009D3E34">
        <w:t xml:space="preserve"> of EU </w:t>
      </w:r>
      <w:r w:rsidR="002A5241" w:rsidRPr="009D3E34">
        <w:t>sustainability</w:t>
      </w:r>
      <w:r w:rsidR="007236BB" w:rsidRPr="009D3E34">
        <w:t xml:space="preserve"> reporting standards</w:t>
      </w:r>
      <w:r w:rsidR="00CB7723" w:rsidRPr="009D3E34">
        <w:t xml:space="preserve"> from 2020.</w:t>
      </w:r>
    </w:p>
    <w:p w14:paraId="18E7EFDC" w14:textId="36697501" w:rsidR="00FF28E1" w:rsidRPr="009D3E34" w:rsidRDefault="007236BB" w:rsidP="00B946EC">
      <w:pPr>
        <w:pStyle w:val="nikoneindenttext15"/>
      </w:pPr>
      <w:r w:rsidRPr="009D3E34">
        <w:t xml:space="preserve">Upon its formal dissolution in November 2021, </w:t>
      </w:r>
      <w:r w:rsidR="002630A7" w:rsidRPr="009D3E34">
        <w:t>t</w:t>
      </w:r>
      <w:r w:rsidRPr="009D3E34">
        <w:t>he Corporate Reporting Dialogue referred to the “success of its mission given the upcoming consolidation of four of its seven members” (CRD, 2021:1) and described itself as “an enabler to the decision by the IFRS Foundation to form the I</w:t>
      </w:r>
      <w:r w:rsidR="00F941BF" w:rsidRPr="009D3E34">
        <w:t xml:space="preserve">nternational </w:t>
      </w:r>
      <w:r w:rsidRPr="009D3E34">
        <w:t>S</w:t>
      </w:r>
      <w:r w:rsidR="00F941BF" w:rsidRPr="009D3E34">
        <w:t xml:space="preserve">ustainability </w:t>
      </w:r>
      <w:r w:rsidRPr="009D3E34">
        <w:t>S</w:t>
      </w:r>
      <w:r w:rsidR="00F941BF" w:rsidRPr="009D3E34">
        <w:t xml:space="preserve">tandards </w:t>
      </w:r>
      <w:r w:rsidRPr="009D3E34">
        <w:t>B</w:t>
      </w:r>
      <w:r w:rsidR="00F941BF" w:rsidRPr="009D3E34">
        <w:t xml:space="preserve">oard </w:t>
      </w:r>
      <w:r w:rsidRPr="009D3E34">
        <w:t>and enabler of the consolidation of the landscape” (CRD, 2021:2).</w:t>
      </w:r>
      <w:r w:rsidR="0059772D" w:rsidRPr="009D3E34">
        <w:t xml:space="preserve"> </w:t>
      </w:r>
      <w:r w:rsidR="00B946EC" w:rsidRPr="009D3E34">
        <w:t xml:space="preserve">This paper </w:t>
      </w:r>
      <w:r w:rsidR="00FF28E1" w:rsidRPr="009D3E34">
        <w:t xml:space="preserve">aims to </w:t>
      </w:r>
      <w:r w:rsidR="00B946EC" w:rsidRPr="009D3E34">
        <w:t xml:space="preserve">examine </w:t>
      </w:r>
      <w:r w:rsidR="00A13221" w:rsidRPr="009D3E34">
        <w:t xml:space="preserve">these claims and assess </w:t>
      </w:r>
      <w:r w:rsidR="00FF28E1" w:rsidRPr="009D3E34">
        <w:t xml:space="preserve">the role of </w:t>
      </w:r>
      <w:r w:rsidR="00B946EC" w:rsidRPr="009D3E34">
        <w:t xml:space="preserve">the Corporate Reporting Dialogue </w:t>
      </w:r>
      <w:r w:rsidR="00FF28E1" w:rsidRPr="009D3E34">
        <w:t>in the global standardisation of sustainability reporting.</w:t>
      </w:r>
    </w:p>
    <w:p w14:paraId="60F86ECE" w14:textId="485D910D" w:rsidR="00FF28E1" w:rsidRPr="009D3E34" w:rsidRDefault="00FF28E1" w:rsidP="00B946EC">
      <w:pPr>
        <w:pStyle w:val="nikoneindenttext15"/>
      </w:pPr>
    </w:p>
    <w:p w14:paraId="1A6F6C38" w14:textId="0AB349C2" w:rsidR="00486A86" w:rsidRPr="009D3E34" w:rsidRDefault="00486A86" w:rsidP="00486A86">
      <w:pPr>
        <w:pStyle w:val="nikoneindenttext15"/>
      </w:pPr>
      <w:r w:rsidRPr="009D3E34">
        <w:lastRenderedPageBreak/>
        <w:t xml:space="preserve">Collaborative standardising initiatives such as the Corporate Reporting Dialogue present a seemingly cooperative engagement between essentially competing standardisers. They offer a means for standardisers to cooperate in pursuit of mutual advantage, rather than compete to become the sole provider of sustainability reporting standards. Yet, given the power relations between standardisers, this conceptualisation is challenged </w:t>
      </w:r>
      <w:r w:rsidR="007F2099" w:rsidRPr="009D3E34">
        <w:t>when</w:t>
      </w:r>
      <w:r w:rsidRPr="009D3E34">
        <w:t xml:space="preserve"> it </w:t>
      </w:r>
      <w:r w:rsidR="007F2099" w:rsidRPr="009D3E34">
        <w:t xml:space="preserve">is </w:t>
      </w:r>
      <w:r w:rsidRPr="009D3E34">
        <w:t>unclear where the mutual advantages arise and over what timescale. Standardising initiatives that use similar terminology can obscure the politics of standardisation and the fundamental differences in the aims and objectives of standards (Guthrie, 2016</w:t>
      </w:r>
      <w:r w:rsidR="00CB4786" w:rsidRPr="009D3E34">
        <w:t>; Humphrey et al., 2017</w:t>
      </w:r>
      <w:r w:rsidRPr="009D3E34">
        <w:t xml:space="preserve">). </w:t>
      </w:r>
      <w:r w:rsidR="005216B2" w:rsidRPr="009D3E34">
        <w:t xml:space="preserve">As Adams &amp; </w:t>
      </w:r>
      <w:proofErr w:type="spellStart"/>
      <w:r w:rsidR="005216B2" w:rsidRPr="009D3E34">
        <w:t>Abhayawansa</w:t>
      </w:r>
      <w:proofErr w:type="spellEnd"/>
      <w:r w:rsidR="005216B2" w:rsidRPr="009D3E34">
        <w:t xml:space="preserve"> (2021:6) observe, “the debate around the future of sustainability reporting is fraught with political manoeuvres, platitudes with dissent behind closed doors, half-truths, misleading statements, meaningless compromises and disrespect for contributions to date”. </w:t>
      </w:r>
      <w:r w:rsidRPr="009D3E34">
        <w:t>The Corporate Reporting Dialogue is described as an “umbrella for dialogue on corporate reporting” (IFAC, 2017:7). Yet it is unclear who is holding the umbrella, and over whom it is positioned.</w:t>
      </w:r>
    </w:p>
    <w:p w14:paraId="694B3B78" w14:textId="77777777" w:rsidR="00910B5D" w:rsidRPr="009D3E34" w:rsidRDefault="00910B5D" w:rsidP="00486A86">
      <w:pPr>
        <w:pStyle w:val="nikoneindenttext15"/>
      </w:pPr>
    </w:p>
    <w:p w14:paraId="5E7F2C60" w14:textId="14478BFC" w:rsidR="00461B53" w:rsidRPr="009D3E34" w:rsidRDefault="00461B53" w:rsidP="00461B53">
      <w:pPr>
        <w:pStyle w:val="nikoneindenttext15"/>
      </w:pPr>
      <w:r w:rsidRPr="009D3E34">
        <w:t xml:space="preserve">This paper analyses how the Corporate Reporting Dialogue was used to </w:t>
      </w:r>
      <w:r w:rsidR="00287513" w:rsidRPr="009D3E34">
        <w:t xml:space="preserve">consolidate </w:t>
      </w:r>
      <w:r w:rsidR="007F2099" w:rsidRPr="009D3E34">
        <w:t>the efforts of t</w:t>
      </w:r>
      <w:r w:rsidR="00ED76C4" w:rsidRPr="009D3E34">
        <w:t xml:space="preserve">hose standardisers committed to a specific </w:t>
      </w:r>
      <w:r w:rsidRPr="009D3E34">
        <w:t>vision of sustainability reporting. As part of this analysis, the paper explores how power relations operate in collaborative initiatives that influence the agenda</w:t>
      </w:r>
      <w:r w:rsidR="002630A7" w:rsidRPr="009D3E34">
        <w:t xml:space="preserve">, </w:t>
      </w:r>
      <w:proofErr w:type="gramStart"/>
      <w:r w:rsidRPr="009D3E34">
        <w:t>direction</w:t>
      </w:r>
      <w:proofErr w:type="gramEnd"/>
      <w:r w:rsidRPr="009D3E34">
        <w:t xml:space="preserve"> </w:t>
      </w:r>
      <w:r w:rsidR="002630A7" w:rsidRPr="009D3E34">
        <w:t xml:space="preserve">and </w:t>
      </w:r>
      <w:r w:rsidR="00EE450C" w:rsidRPr="009D3E34">
        <w:t>participation</w:t>
      </w:r>
      <w:r w:rsidR="002630A7" w:rsidRPr="009D3E34">
        <w:t xml:space="preserve"> in </w:t>
      </w:r>
      <w:r w:rsidRPr="009D3E34">
        <w:t xml:space="preserve">standardising activity. In doing so, it </w:t>
      </w:r>
      <w:r w:rsidR="00B93356" w:rsidRPr="009D3E34">
        <w:t xml:space="preserve">assesses </w:t>
      </w:r>
      <w:r w:rsidRPr="009D3E34">
        <w:t xml:space="preserve">the </w:t>
      </w:r>
      <w:r w:rsidR="00EC479E" w:rsidRPr="009D3E34">
        <w:t xml:space="preserve">role of the </w:t>
      </w:r>
      <w:r w:rsidRPr="009D3E34">
        <w:t xml:space="preserve">Corporate Reporting Dialogue </w:t>
      </w:r>
      <w:r w:rsidR="00EC479E" w:rsidRPr="009D3E34">
        <w:t>in</w:t>
      </w:r>
      <w:r w:rsidRPr="009D3E34">
        <w:t xml:space="preserve"> </w:t>
      </w:r>
      <w:r w:rsidR="00C40906" w:rsidRPr="009D3E34">
        <w:t>preparing the ground for</w:t>
      </w:r>
      <w:r w:rsidRPr="009D3E34">
        <w:t xml:space="preserve"> global sustainability reporting standards.</w:t>
      </w:r>
    </w:p>
    <w:p w14:paraId="686593DE" w14:textId="4E6E9E7B" w:rsidR="00461B53" w:rsidRPr="009D3E34" w:rsidRDefault="00461B53" w:rsidP="00461B53">
      <w:pPr>
        <w:pStyle w:val="nikoneindenttext15"/>
      </w:pPr>
      <w:r w:rsidRPr="009D3E34">
        <w:t>The paper poses the following research questions: a) What was the role of the Corporate Reporting Dialogue</w:t>
      </w:r>
      <w:r w:rsidR="00F941BF" w:rsidRPr="009D3E34">
        <w:t xml:space="preserve"> </w:t>
      </w:r>
      <w:r w:rsidR="00FF3375" w:rsidRPr="009D3E34">
        <w:t>in the global standardisation of sustainability reporting</w:t>
      </w:r>
      <w:r w:rsidRPr="009D3E34">
        <w:t xml:space="preserve">? and b) </w:t>
      </w:r>
      <w:r w:rsidR="005E21B1" w:rsidRPr="009D3E34">
        <w:t>Who influences participation in and the direction of Dialogue activity?</w:t>
      </w:r>
    </w:p>
    <w:p w14:paraId="1BE6935A" w14:textId="77777777" w:rsidR="00461B53" w:rsidRPr="009D3E34" w:rsidRDefault="00461B53" w:rsidP="00461B53">
      <w:pPr>
        <w:pStyle w:val="nikoneindenttext15"/>
      </w:pPr>
      <w:proofErr w:type="gramStart"/>
      <w:r w:rsidRPr="009D3E34">
        <w:t>In order to</w:t>
      </w:r>
      <w:proofErr w:type="gramEnd"/>
      <w:r w:rsidRPr="009D3E34">
        <w:t xml:space="preserve"> investigate these questions, the paper draws on a dataset constructed from in-depth interviews with key actors from those standardisers both inside and outside the Corporate Reporting Dialogue, documentary analysis of publications released by sustainability reporting standardisers, and observation of Corporate Reporting Dialogue meetings and events.</w:t>
      </w:r>
    </w:p>
    <w:p w14:paraId="01FDC4EC" w14:textId="49B7863A" w:rsidR="008045F3" w:rsidRPr="009D3E34" w:rsidRDefault="00F1562E" w:rsidP="008045F3">
      <w:pPr>
        <w:pStyle w:val="nikoneindenttext15"/>
      </w:pPr>
      <w:r w:rsidRPr="009D3E34">
        <w:t xml:space="preserve">The findings show how the Corporate Reporting Dialogue was initially orchestrated by the IIRC </w:t>
      </w:r>
      <w:r w:rsidR="00A634A8" w:rsidRPr="009D3E34">
        <w:t>who sought to develop</w:t>
      </w:r>
      <w:r w:rsidR="0059772D" w:rsidRPr="009D3E34">
        <w:t xml:space="preserve"> an aligned vision of corporate accountability accordant with the &lt;IR&gt; framework. </w:t>
      </w:r>
      <w:r w:rsidR="00787396" w:rsidRPr="009D3E34">
        <w:t xml:space="preserve">The results detail </w:t>
      </w:r>
      <w:r w:rsidR="00D831AE" w:rsidRPr="009D3E34">
        <w:t xml:space="preserve">how </w:t>
      </w:r>
      <w:r w:rsidR="00787396" w:rsidRPr="009D3E34">
        <w:t xml:space="preserve">the IIRC’s selection of Dialogue members </w:t>
      </w:r>
      <w:r w:rsidR="00217033" w:rsidRPr="009D3E34">
        <w:t>sought to enhance</w:t>
      </w:r>
      <w:r w:rsidR="00FD40AF" w:rsidRPr="009D3E34">
        <w:t xml:space="preserve"> the legitimacy of Dialogue activity. Membership ‘costs’ for powerful standardisers were minimal and they played little role in the Dialogue</w:t>
      </w:r>
      <w:r w:rsidR="00217033" w:rsidRPr="009D3E34">
        <w:t>,</w:t>
      </w:r>
      <w:r w:rsidR="00FD40AF" w:rsidRPr="009D3E34">
        <w:t xml:space="preserve"> yet their presence offered legitimacy to the </w:t>
      </w:r>
      <w:r w:rsidR="00FD40AF" w:rsidRPr="009D3E34">
        <w:lastRenderedPageBreak/>
        <w:t xml:space="preserve">initiative. Whilst the GRI could not reputationally afford to decline membership, its differing ideological vision on sustainability reporting meant it risked being marginalised within a group of standardisers who were predominantly committed to </w:t>
      </w:r>
      <w:r w:rsidR="001036D9" w:rsidRPr="009D3E34">
        <w:t xml:space="preserve">establishing the normativity of </w:t>
      </w:r>
      <w:r w:rsidR="00FD40AF" w:rsidRPr="009D3E34">
        <w:t xml:space="preserve">investor-orientated reporting based on the impact of socio-ecological change </w:t>
      </w:r>
      <w:r w:rsidR="00FD40AF" w:rsidRPr="009D3E34">
        <w:rPr>
          <w:i/>
          <w:iCs/>
        </w:rPr>
        <w:t>on</w:t>
      </w:r>
      <w:r w:rsidR="00FD40AF" w:rsidRPr="009D3E34">
        <w:t xml:space="preserve"> </w:t>
      </w:r>
      <w:r w:rsidR="00B278DA" w:rsidRPr="009D3E34">
        <w:t>firm</w:t>
      </w:r>
      <w:r w:rsidR="009864DA" w:rsidRPr="009D3E34">
        <w:t xml:space="preserve"> (or ‘</w:t>
      </w:r>
      <w:r w:rsidR="00FD40AF" w:rsidRPr="009D3E34">
        <w:t>enterprise</w:t>
      </w:r>
      <w:r w:rsidR="009864DA" w:rsidRPr="009D3E34">
        <w:t>’)</w:t>
      </w:r>
      <w:r w:rsidR="00FD40AF" w:rsidRPr="009D3E34">
        <w:t xml:space="preserve"> value. The findings show how the Corporate Reporting Dialogue </w:t>
      </w:r>
      <w:r w:rsidRPr="009D3E34">
        <w:t>later became a vehicle for orchestrating a harmonised worldview consistent with the recommendations of the Task Force for Climate-Related Financial Disclosure (TCFD)</w:t>
      </w:r>
      <w:r w:rsidR="00C054D1" w:rsidRPr="009D3E34">
        <w:t xml:space="preserve"> and key benefactors such as Bloomberg</w:t>
      </w:r>
      <w:r w:rsidRPr="009D3E34">
        <w:t xml:space="preserve">. </w:t>
      </w:r>
      <w:r w:rsidR="008045F3" w:rsidRPr="009D3E34">
        <w:t xml:space="preserve">Nevertheless, </w:t>
      </w:r>
      <w:r w:rsidR="00301415" w:rsidRPr="009D3E34">
        <w:t xml:space="preserve">like the IIRC, </w:t>
      </w:r>
      <w:r w:rsidR="005E21B1" w:rsidRPr="009D3E34">
        <w:t>the TCFD was also</w:t>
      </w:r>
      <w:r w:rsidR="008045F3" w:rsidRPr="009D3E34">
        <w:t xml:space="preserve"> committed to a vision of sustainability reporting focused on detailing </w:t>
      </w:r>
      <w:r w:rsidR="00C054D1" w:rsidRPr="009D3E34">
        <w:t xml:space="preserve">how societal and environmental changes may influence </w:t>
      </w:r>
      <w:r w:rsidR="008045F3" w:rsidRPr="009D3E34">
        <w:t xml:space="preserve">firm value (rather than reporting </w:t>
      </w:r>
      <w:r w:rsidR="007F4937" w:rsidRPr="009D3E34">
        <w:t xml:space="preserve">on </w:t>
      </w:r>
      <w:r w:rsidR="008045F3" w:rsidRPr="009D3E34">
        <w:t xml:space="preserve">how </w:t>
      </w:r>
      <w:r w:rsidR="00C054D1" w:rsidRPr="009D3E34">
        <w:t xml:space="preserve">corporate activity </w:t>
      </w:r>
      <w:r w:rsidR="002A5241" w:rsidRPr="009D3E34">
        <w:t>is</w:t>
      </w:r>
      <w:r w:rsidR="00C054D1" w:rsidRPr="009D3E34">
        <w:t xml:space="preserve"> impacting the environment and society).</w:t>
      </w:r>
      <w:r w:rsidR="00B278DA" w:rsidRPr="009D3E34">
        <w:t xml:space="preserve"> The most active members of the Dialogue </w:t>
      </w:r>
      <w:r w:rsidR="00AD3886" w:rsidRPr="009D3E34">
        <w:t xml:space="preserve">evolved into the ‘Group of 5’ </w:t>
      </w:r>
      <w:r w:rsidR="005F4CE0" w:rsidRPr="009D3E34">
        <w:t>whose global solution was adopted by the governing body of another Dialogue member, the IFRS Foundation, in forming the International Sustainability Standards Board.</w:t>
      </w:r>
    </w:p>
    <w:p w14:paraId="5061D75A" w14:textId="77777777" w:rsidR="00BA3C28" w:rsidRPr="009D3E34" w:rsidRDefault="00BA3C28" w:rsidP="00F1562E">
      <w:pPr>
        <w:pStyle w:val="nikoneindenttext15"/>
      </w:pPr>
    </w:p>
    <w:p w14:paraId="7D81B669" w14:textId="1B214D5A" w:rsidR="008D2C25" w:rsidRPr="009D3E34" w:rsidRDefault="002A5241" w:rsidP="00992143">
      <w:pPr>
        <w:pStyle w:val="nikoneindenttext15"/>
      </w:pPr>
      <w:r w:rsidRPr="009D3E34">
        <w:t>T</w:t>
      </w:r>
      <w:r w:rsidR="00AB3247" w:rsidRPr="009D3E34">
        <w:t xml:space="preserve">he paper contributes </w:t>
      </w:r>
      <w:r w:rsidR="00330AF5" w:rsidRPr="009D3E34">
        <w:t xml:space="preserve">to </w:t>
      </w:r>
      <w:r w:rsidRPr="009D3E34">
        <w:t xml:space="preserve">extant literature by </w:t>
      </w:r>
      <w:r w:rsidR="00B001CB" w:rsidRPr="009D3E34">
        <w:t xml:space="preserve">offering a plural analysis of multiple standardisers to </w:t>
      </w:r>
      <w:r w:rsidRPr="009D3E34">
        <w:t xml:space="preserve">develop </w:t>
      </w:r>
      <w:r w:rsidR="00AB3247" w:rsidRPr="009D3E34">
        <w:t xml:space="preserve">our understanding of the role </w:t>
      </w:r>
      <w:r w:rsidR="00B001CB" w:rsidRPr="009D3E34">
        <w:t xml:space="preserve">and significance </w:t>
      </w:r>
      <w:r w:rsidR="00AB3247" w:rsidRPr="009D3E34">
        <w:t xml:space="preserve">of collaborative initiatives </w:t>
      </w:r>
      <w:r w:rsidR="00B001CB" w:rsidRPr="009D3E34">
        <w:t>i</w:t>
      </w:r>
      <w:r w:rsidR="00AB3247" w:rsidRPr="009D3E34">
        <w:t xml:space="preserve">n the </w:t>
      </w:r>
      <w:r w:rsidR="00BA3C28" w:rsidRPr="009D3E34">
        <w:t>changes surrounding the</w:t>
      </w:r>
      <w:r w:rsidR="00B001CB" w:rsidRPr="009D3E34">
        <w:t xml:space="preserve"> </w:t>
      </w:r>
      <w:r w:rsidR="0062609F" w:rsidRPr="009D3E34">
        <w:t xml:space="preserve">consolidation </w:t>
      </w:r>
      <w:r w:rsidR="00AB3247" w:rsidRPr="009D3E34">
        <w:t>of sustainability reporting</w:t>
      </w:r>
      <w:r w:rsidR="00BA3C28" w:rsidRPr="009D3E34">
        <w:t xml:space="preserve"> standardisation</w:t>
      </w:r>
      <w:r w:rsidR="00AB3247" w:rsidRPr="009D3E34">
        <w:t>.</w:t>
      </w:r>
      <w:r w:rsidR="00E100E2" w:rsidRPr="009D3E34">
        <w:t xml:space="preserve"> This analysis shows how the Dialogue subtly under</w:t>
      </w:r>
      <w:r w:rsidR="00912C7F" w:rsidRPr="009D3E34">
        <w:t>m</w:t>
      </w:r>
      <w:r w:rsidR="00E100E2" w:rsidRPr="009D3E34">
        <w:t>ine</w:t>
      </w:r>
      <w:r w:rsidR="00CB64A1" w:rsidRPr="009D3E34">
        <w:t>d</w:t>
      </w:r>
      <w:r w:rsidR="00E100E2" w:rsidRPr="009D3E34">
        <w:t xml:space="preserve"> the </w:t>
      </w:r>
      <w:r w:rsidR="00912C7F" w:rsidRPr="009D3E34">
        <w:t xml:space="preserve">position held by the </w:t>
      </w:r>
      <w:r w:rsidR="00E100E2" w:rsidRPr="009D3E34">
        <w:t>GRI</w:t>
      </w:r>
      <w:r w:rsidR="00CB64A1" w:rsidRPr="009D3E34">
        <w:t xml:space="preserve"> whose reporting vision, </w:t>
      </w:r>
      <w:r w:rsidR="00E100E2" w:rsidRPr="009D3E34">
        <w:t>presented as one amongst many</w:t>
      </w:r>
      <w:r w:rsidR="00CB64A1" w:rsidRPr="009D3E34">
        <w:t xml:space="preserve">, </w:t>
      </w:r>
      <w:r w:rsidR="00E100E2" w:rsidRPr="009D3E34">
        <w:t xml:space="preserve">appears as an outlier despite </w:t>
      </w:r>
      <w:r w:rsidR="00CB64A1" w:rsidRPr="009D3E34">
        <w:t>being</w:t>
      </w:r>
      <w:r w:rsidR="00E100E2" w:rsidRPr="009D3E34">
        <w:t xml:space="preserve"> the dominant sustainability reporting standardiser, and </w:t>
      </w:r>
      <w:r w:rsidR="00CB64A1" w:rsidRPr="009D3E34">
        <w:t xml:space="preserve">helped </w:t>
      </w:r>
      <w:r w:rsidR="00E100E2" w:rsidRPr="009D3E34">
        <w:t xml:space="preserve">establish the prioritisation of a sustainability reporting worldview based on investor-oriented enterprise value creation. </w:t>
      </w:r>
      <w:r w:rsidR="00912C7F" w:rsidRPr="009D3E34">
        <w:t xml:space="preserve">The case also </w:t>
      </w:r>
      <w:r w:rsidR="00330AF5" w:rsidRPr="009D3E34">
        <w:t>highlight</w:t>
      </w:r>
      <w:r w:rsidR="00CB64A1" w:rsidRPr="009D3E34">
        <w:t>s</w:t>
      </w:r>
      <w:r w:rsidR="00330AF5" w:rsidRPr="009D3E34">
        <w:t xml:space="preserve"> the influence of specific orchestrators </w:t>
      </w:r>
      <w:r w:rsidR="00912C7F" w:rsidRPr="009D3E34">
        <w:t>in</w:t>
      </w:r>
      <w:r w:rsidR="00330AF5" w:rsidRPr="009D3E34">
        <w:t xml:space="preserve"> </w:t>
      </w:r>
      <w:r w:rsidR="00B001CB" w:rsidRPr="009D3E34">
        <w:t xml:space="preserve">these </w:t>
      </w:r>
      <w:proofErr w:type="gramStart"/>
      <w:r w:rsidR="00CB64A1" w:rsidRPr="009D3E34">
        <w:t>developments</w:t>
      </w:r>
      <w:r w:rsidR="00330AF5" w:rsidRPr="009D3E34">
        <w:t>, and</w:t>
      </w:r>
      <w:proofErr w:type="gramEnd"/>
      <w:r w:rsidR="00330AF5" w:rsidRPr="009D3E34">
        <w:t xml:space="preserve"> reveals the influence of ‘</w:t>
      </w:r>
      <w:proofErr w:type="spellStart"/>
      <w:r w:rsidR="00330AF5" w:rsidRPr="009D3E34">
        <w:t>philanthrocapitalism</w:t>
      </w:r>
      <w:proofErr w:type="spellEnd"/>
      <w:r w:rsidR="00330AF5" w:rsidRPr="009D3E34">
        <w:t>’ (</w:t>
      </w:r>
      <w:proofErr w:type="spellStart"/>
      <w:r w:rsidR="00330AF5" w:rsidRPr="009D3E34">
        <w:t>McGoey</w:t>
      </w:r>
      <w:proofErr w:type="spellEnd"/>
      <w:r w:rsidR="00330AF5" w:rsidRPr="009D3E34">
        <w:t xml:space="preserve">, 2012) on the </w:t>
      </w:r>
      <w:r w:rsidR="00CB64A1" w:rsidRPr="009D3E34">
        <w:t>direction</w:t>
      </w:r>
      <w:r w:rsidR="00330AF5" w:rsidRPr="009D3E34">
        <w:t xml:space="preserve"> of sustainability reporting.</w:t>
      </w:r>
      <w:r w:rsidR="00D831AE" w:rsidRPr="009D3E34">
        <w:t xml:space="preserve"> </w:t>
      </w:r>
      <w:r w:rsidR="00BA3C28" w:rsidRPr="009D3E34">
        <w:t xml:space="preserve">The paper </w:t>
      </w:r>
      <w:r w:rsidR="004F1254" w:rsidRPr="009D3E34">
        <w:t xml:space="preserve">contributes to </w:t>
      </w:r>
      <w:r w:rsidR="00BA3C28" w:rsidRPr="009D3E34">
        <w:t>our understanding of the role of legitimacy generation in standard-setting</w:t>
      </w:r>
      <w:r w:rsidR="004F1254" w:rsidRPr="009D3E34">
        <w:t>.</w:t>
      </w:r>
      <w:r w:rsidR="0048273F" w:rsidRPr="009D3E34">
        <w:t xml:space="preserve"> Whereas prior literature generally focuses on individual standardisers and how they generate legitimacy for their standards through due processes that present themselves as technical, neutral, and non-political, this paper focuses on how collaborative standardising initiatives offer another means to generate input legitimacy</w:t>
      </w:r>
      <w:r w:rsidR="00CF7676" w:rsidRPr="009D3E34">
        <w:t>.</w:t>
      </w:r>
      <w:r w:rsidR="008D2C25" w:rsidRPr="009D3E34">
        <w:t xml:space="preserve"> In this case, the Dialogue is used to generate legitimacy for what was the ‘minority’ view in sustainability reporting which was at odds with most sustainability-reporting practice</w:t>
      </w:r>
      <w:r w:rsidR="0048273F" w:rsidRPr="009D3E34">
        <w:t>.</w:t>
      </w:r>
      <w:bookmarkStart w:id="6" w:name="_Hlk96600793"/>
      <w:r w:rsidR="00D831AE" w:rsidRPr="009D3E34">
        <w:t xml:space="preserve"> </w:t>
      </w:r>
      <w:r w:rsidR="00C03651" w:rsidRPr="009D3E34">
        <w:t>Finally,</w:t>
      </w:r>
      <w:r w:rsidR="00AB3247" w:rsidRPr="009D3E34">
        <w:t xml:space="preserve"> the paper explicates the </w:t>
      </w:r>
      <w:r w:rsidR="0062609F" w:rsidRPr="009D3E34">
        <w:t xml:space="preserve">mechanisms through which </w:t>
      </w:r>
      <w:r w:rsidR="00661783" w:rsidRPr="009D3E34">
        <w:t xml:space="preserve">covert </w:t>
      </w:r>
      <w:r w:rsidR="00AB3247" w:rsidRPr="009D3E34">
        <w:t xml:space="preserve">power </w:t>
      </w:r>
      <w:r w:rsidR="0062609F" w:rsidRPr="009D3E34">
        <w:t xml:space="preserve">is exercised </w:t>
      </w:r>
      <w:r w:rsidR="00AB3247" w:rsidRPr="009D3E34">
        <w:t xml:space="preserve">within sustainability reporting standardisation and extends the sites of power to consider collaborative initiatives. </w:t>
      </w:r>
      <w:r w:rsidR="00661783" w:rsidRPr="009D3E34">
        <w:t xml:space="preserve">The analysis shows how </w:t>
      </w:r>
      <w:r w:rsidR="00661783" w:rsidRPr="009D3E34">
        <w:lastRenderedPageBreak/>
        <w:t>orchestrators use funding and membership choices to define the boundaries of discussion by influencing who is at the table, what is on the agenda and what activity is undertaken.</w:t>
      </w:r>
      <w:bookmarkEnd w:id="6"/>
      <w:r w:rsidR="00992143" w:rsidRPr="009D3E34">
        <w:t xml:space="preserve"> In doing so, the paper depicts standardisation through assimilation and not only through conquest, where </w:t>
      </w:r>
      <w:r w:rsidR="008D2C25" w:rsidRPr="009D3E34">
        <w:t xml:space="preserve">covert power often relies on the use of bodies that can heighten the appearance of </w:t>
      </w:r>
      <w:r w:rsidR="00992143" w:rsidRPr="009D3E34">
        <w:t>consensu</w:t>
      </w:r>
      <w:r w:rsidR="00953858" w:rsidRPr="009D3E34">
        <w:t>s</w:t>
      </w:r>
      <w:r w:rsidR="00067212" w:rsidRPr="009D3E34">
        <w:t xml:space="preserve"> </w:t>
      </w:r>
      <w:r w:rsidR="008D2C25" w:rsidRPr="009D3E34">
        <w:t>and attain what cannot be legitimately achieved through direct force.</w:t>
      </w:r>
      <w:bookmarkStart w:id="7" w:name="_Hlk109301545"/>
    </w:p>
    <w:bookmarkEnd w:id="7"/>
    <w:p w14:paraId="7D64F91C" w14:textId="7ED204F8" w:rsidR="00C96F67" w:rsidRPr="009D3E34" w:rsidRDefault="00C96F67" w:rsidP="00C96F67">
      <w:pPr>
        <w:pStyle w:val="nikoneindenttext15"/>
      </w:pPr>
      <w:r w:rsidRPr="009D3E34">
        <w:t>The next section positions the study within existing standardisation literature and develops the conceptual notions use</w:t>
      </w:r>
      <w:r w:rsidR="00B34FDE" w:rsidRPr="009D3E34">
        <w:t>d</w:t>
      </w:r>
      <w:r w:rsidRPr="009D3E34">
        <w:t xml:space="preserve"> to explicate </w:t>
      </w:r>
      <w:r w:rsidR="00B34FDE" w:rsidRPr="009D3E34">
        <w:t>the</w:t>
      </w:r>
      <w:r w:rsidRPr="009D3E34">
        <w:t xml:space="preserve"> analysis. Section 3 describes the methods used in </w:t>
      </w:r>
      <w:r w:rsidR="00B34FDE" w:rsidRPr="009D3E34">
        <w:t xml:space="preserve">the </w:t>
      </w:r>
      <w:r w:rsidRPr="009D3E34">
        <w:t>investigation before section 4 introduces the Corporate Reporting Dialogue project, and analyses its aims</w:t>
      </w:r>
      <w:r w:rsidR="00DB3AA3" w:rsidRPr="009D3E34">
        <w:t xml:space="preserve">, </w:t>
      </w:r>
      <w:r w:rsidRPr="009D3E34">
        <w:t>implementation</w:t>
      </w:r>
      <w:r w:rsidR="00DB3AA3" w:rsidRPr="009D3E34">
        <w:t xml:space="preserve"> and </w:t>
      </w:r>
      <w:r w:rsidRPr="009D3E34">
        <w:t xml:space="preserve">the events influencing its direction. Section 5 discusses the implications of </w:t>
      </w:r>
      <w:r w:rsidR="005F4BCB" w:rsidRPr="009D3E34">
        <w:t>the</w:t>
      </w:r>
      <w:r w:rsidRPr="009D3E34">
        <w:t xml:space="preserve"> analysis </w:t>
      </w:r>
      <w:r w:rsidR="00B34FDE" w:rsidRPr="009D3E34">
        <w:t xml:space="preserve">for the standardisation of sustainability reporting </w:t>
      </w:r>
      <w:r w:rsidRPr="009D3E34">
        <w:t xml:space="preserve">and presents </w:t>
      </w:r>
      <w:r w:rsidR="005F4BCB" w:rsidRPr="009D3E34">
        <w:t>the</w:t>
      </w:r>
      <w:r w:rsidRPr="009D3E34">
        <w:t xml:space="preserve"> contributions </w:t>
      </w:r>
      <w:r w:rsidR="005F4BCB" w:rsidRPr="009D3E34">
        <w:t xml:space="preserve">of the study </w:t>
      </w:r>
      <w:r w:rsidRPr="009D3E34">
        <w:t>before offering concluding remarks.</w:t>
      </w:r>
    </w:p>
    <w:p w14:paraId="6C9F5D2A" w14:textId="77777777" w:rsidR="00945052" w:rsidRPr="009D3E34" w:rsidRDefault="00945052" w:rsidP="00AD64DF">
      <w:pPr>
        <w:pStyle w:val="nikoneindenttext15"/>
      </w:pPr>
    </w:p>
    <w:p w14:paraId="61439D22" w14:textId="3DCA43BD" w:rsidR="006E5AD3" w:rsidRPr="009D3E34" w:rsidRDefault="009A4C90" w:rsidP="00E0093B">
      <w:pPr>
        <w:pStyle w:val="Heading1"/>
      </w:pPr>
      <w:r w:rsidRPr="009D3E34">
        <w:t xml:space="preserve">2. </w:t>
      </w:r>
      <w:r w:rsidR="007D63C2" w:rsidRPr="009D3E34">
        <w:t>Standardisation</w:t>
      </w:r>
      <w:r w:rsidR="00AF5A75" w:rsidRPr="009D3E34">
        <w:t xml:space="preserve">, </w:t>
      </w:r>
      <w:r w:rsidR="007D63C2" w:rsidRPr="009D3E34">
        <w:t>Orchestration</w:t>
      </w:r>
      <w:r w:rsidR="00D3602B" w:rsidRPr="009D3E34">
        <w:t xml:space="preserve"> and </w:t>
      </w:r>
      <w:r w:rsidR="00FB392D" w:rsidRPr="009D3E34">
        <w:t>Power</w:t>
      </w:r>
    </w:p>
    <w:p w14:paraId="25799B38" w14:textId="3FCA472F" w:rsidR="00951E4B" w:rsidRPr="009D3E34" w:rsidRDefault="00851B04" w:rsidP="00B16947">
      <w:pPr>
        <w:pStyle w:val="nikoneindenttext15"/>
      </w:pPr>
      <w:r w:rsidRPr="009D3E34">
        <w:t xml:space="preserve">This section commences by examining </w:t>
      </w:r>
      <w:r w:rsidR="00D54CC7" w:rsidRPr="009D3E34">
        <w:t xml:space="preserve">prior literature </w:t>
      </w:r>
      <w:r w:rsidR="00AD3886" w:rsidRPr="009D3E34">
        <w:t>from</w:t>
      </w:r>
      <w:r w:rsidR="00D54CC7" w:rsidRPr="009D3E34">
        <w:t xml:space="preserve"> organisation studies, financial </w:t>
      </w:r>
      <w:proofErr w:type="gramStart"/>
      <w:r w:rsidR="00D54CC7" w:rsidRPr="009D3E34">
        <w:t>accounting</w:t>
      </w:r>
      <w:proofErr w:type="gramEnd"/>
      <w:r w:rsidR="00D54CC7" w:rsidRPr="009D3E34">
        <w:t xml:space="preserve"> and sustainability reporting to understand </w:t>
      </w:r>
      <w:r w:rsidRPr="009D3E34">
        <w:t xml:space="preserve">the roles played by standardisers in the standardisation </w:t>
      </w:r>
      <w:r w:rsidR="003B4B1D" w:rsidRPr="009D3E34">
        <w:t xml:space="preserve">process, before considering the means by which collaborative standardising initiatives are </w:t>
      </w:r>
      <w:r w:rsidR="005E21B1" w:rsidRPr="009D3E34">
        <w:t>convened</w:t>
      </w:r>
      <w:r w:rsidR="003B4B1D" w:rsidRPr="009D3E34">
        <w:t xml:space="preserve">, </w:t>
      </w:r>
      <w:r w:rsidR="00031AF0" w:rsidRPr="009D3E34">
        <w:t>organised</w:t>
      </w:r>
      <w:r w:rsidR="003B4B1D" w:rsidRPr="009D3E34">
        <w:t xml:space="preserve"> and </w:t>
      </w:r>
      <w:r w:rsidR="00031AF0" w:rsidRPr="009D3E34">
        <w:t>directed</w:t>
      </w:r>
      <w:r w:rsidR="003B4B1D" w:rsidRPr="009D3E34">
        <w:t xml:space="preserve">. Here, the paper elaborates on conceptions of </w:t>
      </w:r>
      <w:r w:rsidR="00277696" w:rsidRPr="009D3E34">
        <w:t>‘</w:t>
      </w:r>
      <w:r w:rsidR="005E21B1" w:rsidRPr="009D3E34">
        <w:t>power</w:t>
      </w:r>
      <w:r w:rsidR="00277696" w:rsidRPr="009D3E34">
        <w:t xml:space="preserve"> over’ </w:t>
      </w:r>
      <w:r w:rsidR="0046432E" w:rsidRPr="009D3E34">
        <w:t>and considers how they can be exercised through</w:t>
      </w:r>
      <w:r w:rsidR="005E21B1" w:rsidRPr="009D3E34">
        <w:t xml:space="preserve"> </w:t>
      </w:r>
      <w:r w:rsidR="003B4B1D" w:rsidRPr="009D3E34">
        <w:t xml:space="preserve">orchestration and meta-organising </w:t>
      </w:r>
      <w:proofErr w:type="gramStart"/>
      <w:r w:rsidR="0046432E" w:rsidRPr="009D3E34">
        <w:t>in order to</w:t>
      </w:r>
      <w:proofErr w:type="gramEnd"/>
      <w:r w:rsidR="0046432E" w:rsidRPr="009D3E34">
        <w:t xml:space="preserve"> frame the ensuing analysis of </w:t>
      </w:r>
      <w:r w:rsidR="003B4B1D" w:rsidRPr="009D3E34">
        <w:t xml:space="preserve">the Corporate Reporting Dialogue </w:t>
      </w:r>
      <w:r w:rsidR="0046432E" w:rsidRPr="009D3E34">
        <w:t xml:space="preserve">and its role </w:t>
      </w:r>
      <w:r w:rsidR="003209BE" w:rsidRPr="009D3E34">
        <w:t xml:space="preserve">in </w:t>
      </w:r>
      <w:r w:rsidR="00FB392D" w:rsidRPr="009D3E34">
        <w:t>the global standardisation of</w:t>
      </w:r>
      <w:r w:rsidR="00951E4B" w:rsidRPr="009D3E34">
        <w:t xml:space="preserve"> sustainability reporting.</w:t>
      </w:r>
    </w:p>
    <w:p w14:paraId="39A58036" w14:textId="77777777" w:rsidR="00951E4B" w:rsidRPr="009D3E34" w:rsidRDefault="00951E4B" w:rsidP="00B16947">
      <w:pPr>
        <w:pStyle w:val="nikoneindenttext15"/>
      </w:pPr>
    </w:p>
    <w:p w14:paraId="464D2C73" w14:textId="71A8D43F" w:rsidR="00E3788A" w:rsidRPr="009D3E34" w:rsidRDefault="00275C35" w:rsidP="00E3788A">
      <w:pPr>
        <w:pStyle w:val="niksemisubtitle"/>
      </w:pPr>
      <w:r w:rsidRPr="009D3E34">
        <w:t xml:space="preserve">2.1 </w:t>
      </w:r>
      <w:r w:rsidR="00E3788A" w:rsidRPr="009D3E34">
        <w:t>Standards &amp; Standardisation</w:t>
      </w:r>
      <w:r w:rsidR="00D54CC7" w:rsidRPr="009D3E34">
        <w:t xml:space="preserve"> Processes</w:t>
      </w:r>
    </w:p>
    <w:p w14:paraId="3A5E613C" w14:textId="384597B6" w:rsidR="00172C24" w:rsidRPr="009D3E34" w:rsidRDefault="00B025A9" w:rsidP="00F40152">
      <w:pPr>
        <w:pStyle w:val="nikoneindenttext15"/>
      </w:pPr>
      <w:r w:rsidRPr="009D3E34">
        <w:t>Within corporate s</w:t>
      </w:r>
      <w:r w:rsidR="00FE7C3E" w:rsidRPr="009D3E34">
        <w:t>ustainability reporting</w:t>
      </w:r>
      <w:r w:rsidRPr="009D3E34">
        <w:t>,</w:t>
      </w:r>
      <w:r w:rsidR="00143622" w:rsidRPr="009D3E34">
        <w:t xml:space="preserve"> standards define</w:t>
      </w:r>
      <w:r w:rsidR="00226FE6" w:rsidRPr="009D3E34">
        <w:t xml:space="preserve"> </w:t>
      </w:r>
      <w:r w:rsidR="00497284" w:rsidRPr="009D3E34">
        <w:t>how specific</w:t>
      </w:r>
      <w:r w:rsidR="00143622" w:rsidRPr="009D3E34">
        <w:t xml:space="preserve"> aspects of corporate activity that interact with ‘sustainability’ are </w:t>
      </w:r>
      <w:proofErr w:type="gramStart"/>
      <w:r w:rsidR="00143622" w:rsidRPr="009D3E34">
        <w:t>selected, and</w:t>
      </w:r>
      <w:proofErr w:type="gramEnd"/>
      <w:r w:rsidR="00143622" w:rsidRPr="009D3E34">
        <w:t xml:space="preserve"> prescribe how that activity is measured and </w:t>
      </w:r>
      <w:r w:rsidR="00122153" w:rsidRPr="009D3E34">
        <w:t>report</w:t>
      </w:r>
      <w:r w:rsidR="00143622" w:rsidRPr="009D3E34">
        <w:t>ed</w:t>
      </w:r>
      <w:r w:rsidR="00497284" w:rsidRPr="009D3E34">
        <w:t>.</w:t>
      </w:r>
      <w:r w:rsidR="00DB3AA3" w:rsidRPr="009D3E34">
        <w:t xml:space="preserve"> </w:t>
      </w:r>
      <w:r w:rsidR="003D7891" w:rsidRPr="009D3E34">
        <w:t xml:space="preserve">Like other compatibility standards, </w:t>
      </w:r>
      <w:r w:rsidR="00AE2205" w:rsidRPr="009D3E34">
        <w:t xml:space="preserve">governments have devolved responsibility for setting </w:t>
      </w:r>
      <w:r w:rsidR="008314EA" w:rsidRPr="009D3E34">
        <w:t>corporate</w:t>
      </w:r>
      <w:r w:rsidR="00AE2205" w:rsidRPr="009D3E34">
        <w:t xml:space="preserve"> reporting standards, in varying degrees, to private sector ‘independent’ national and supranational bodies (</w:t>
      </w:r>
      <w:proofErr w:type="spellStart"/>
      <w:r w:rsidR="00AE2205" w:rsidRPr="009D3E34">
        <w:t>Chiapello</w:t>
      </w:r>
      <w:proofErr w:type="spellEnd"/>
      <w:r w:rsidR="00AE2205" w:rsidRPr="009D3E34">
        <w:t xml:space="preserve"> &amp; </w:t>
      </w:r>
      <w:proofErr w:type="spellStart"/>
      <w:r w:rsidR="00AE2205" w:rsidRPr="009D3E34">
        <w:t>Medjad</w:t>
      </w:r>
      <w:proofErr w:type="spellEnd"/>
      <w:r w:rsidR="00AE2205" w:rsidRPr="009D3E34">
        <w:t xml:space="preserve">, 2009). </w:t>
      </w:r>
      <w:r w:rsidR="00941A4B" w:rsidRPr="009D3E34">
        <w:t>For</w:t>
      </w:r>
      <w:r w:rsidR="00EB2A50" w:rsidRPr="009D3E34">
        <w:t xml:space="preserve"> </w:t>
      </w:r>
      <w:r w:rsidR="008314EA" w:rsidRPr="009D3E34">
        <w:t xml:space="preserve">corporate </w:t>
      </w:r>
      <w:r w:rsidR="00EB2A50" w:rsidRPr="009D3E34">
        <w:t xml:space="preserve">financial reporting, </w:t>
      </w:r>
      <w:r w:rsidR="00941A4B" w:rsidRPr="009D3E34">
        <w:t xml:space="preserve">competition between standardisers is constrained by </w:t>
      </w:r>
      <w:r w:rsidR="00EB2A50" w:rsidRPr="009D3E34">
        <w:t>national</w:t>
      </w:r>
      <w:r w:rsidR="00941A4B" w:rsidRPr="009D3E34">
        <w:t>,</w:t>
      </w:r>
      <w:r w:rsidR="00EB2A50" w:rsidRPr="009D3E34">
        <w:t xml:space="preserve"> </w:t>
      </w:r>
      <w:proofErr w:type="gramStart"/>
      <w:r w:rsidR="00EB2A50" w:rsidRPr="009D3E34">
        <w:t>legal</w:t>
      </w:r>
      <w:proofErr w:type="gramEnd"/>
      <w:r w:rsidR="00EB2A50" w:rsidRPr="009D3E34">
        <w:t xml:space="preserve"> or capital market requirements</w:t>
      </w:r>
      <w:r w:rsidR="00941A4B" w:rsidRPr="009D3E34">
        <w:t xml:space="preserve"> that limit th</w:t>
      </w:r>
      <w:r w:rsidR="002E27E9" w:rsidRPr="009D3E34">
        <w:t>ose</w:t>
      </w:r>
      <w:r w:rsidR="00941A4B" w:rsidRPr="009D3E34">
        <w:t xml:space="preserve"> standards that firms can adopt.</w:t>
      </w:r>
      <w:r w:rsidR="00EB2A50" w:rsidRPr="009D3E34">
        <w:t xml:space="preserve"> </w:t>
      </w:r>
      <w:r w:rsidR="00941A4B" w:rsidRPr="009D3E34">
        <w:t>W</w:t>
      </w:r>
      <w:r w:rsidR="00EB2A50" w:rsidRPr="009D3E34">
        <w:t xml:space="preserve">ithin </w:t>
      </w:r>
      <w:r w:rsidR="008314EA" w:rsidRPr="009D3E34">
        <w:t xml:space="preserve">corporate </w:t>
      </w:r>
      <w:r w:rsidR="00EB2A50" w:rsidRPr="009D3E34">
        <w:t>sustainability reporting</w:t>
      </w:r>
      <w:r w:rsidR="00941A4B" w:rsidRPr="009D3E34">
        <w:t xml:space="preserve">, </w:t>
      </w:r>
      <w:r w:rsidR="00EB2A50" w:rsidRPr="009D3E34">
        <w:t xml:space="preserve">global firms </w:t>
      </w:r>
      <w:r w:rsidR="002E27E9" w:rsidRPr="009D3E34">
        <w:t>can</w:t>
      </w:r>
      <w:r w:rsidR="00EB2A50" w:rsidRPr="009D3E34">
        <w:t xml:space="preserve"> </w:t>
      </w:r>
      <w:r w:rsidR="00277696" w:rsidRPr="009D3E34">
        <w:t xml:space="preserve">generally </w:t>
      </w:r>
      <w:r w:rsidR="00EB2A50" w:rsidRPr="009D3E34">
        <w:t>adopt any standard</w:t>
      </w:r>
      <w:r w:rsidR="00C53A90" w:rsidRPr="009D3E34">
        <w:t xml:space="preserve"> and</w:t>
      </w:r>
      <w:r w:rsidR="00EB2A50" w:rsidRPr="009D3E34">
        <w:t xml:space="preserve"> competition among standardisers remains largely unconstrained. </w:t>
      </w:r>
      <w:r w:rsidR="002E27E9" w:rsidRPr="009D3E34">
        <w:t>Given this competitive landscape, n</w:t>
      </w:r>
      <w:r w:rsidR="00F40152" w:rsidRPr="009D3E34">
        <w:t>on-</w:t>
      </w:r>
      <w:r w:rsidR="00F40152" w:rsidRPr="009D3E34">
        <w:lastRenderedPageBreak/>
        <w:t xml:space="preserve">governmental, private-sector standardisers must </w:t>
      </w:r>
      <w:r w:rsidR="00941A4B" w:rsidRPr="009D3E34">
        <w:t xml:space="preserve">therefore </w:t>
      </w:r>
      <w:r w:rsidR="00F40152" w:rsidRPr="009D3E34">
        <w:t>persuade third parties to use, recommend or enforce their standards (</w:t>
      </w:r>
      <w:proofErr w:type="spellStart"/>
      <w:r w:rsidR="00F40152" w:rsidRPr="009D3E34">
        <w:t>Ahrne</w:t>
      </w:r>
      <w:proofErr w:type="spellEnd"/>
      <w:r w:rsidR="00F40152" w:rsidRPr="009D3E34">
        <w:t xml:space="preserve"> et al., 2000). In doing so, they must build confidence in the standardising organisation, persuade adopters that the standards will benefit them, and show there is support from other significant actors (Henning, 2000).</w:t>
      </w:r>
      <w:r w:rsidR="002D64F8" w:rsidRPr="009D3E34">
        <w:t xml:space="preserve"> </w:t>
      </w:r>
      <w:r w:rsidR="002B25AF" w:rsidRPr="009D3E34">
        <w:t>As</w:t>
      </w:r>
      <w:r w:rsidR="00AE2205" w:rsidRPr="009D3E34">
        <w:t xml:space="preserve"> standardisers have often supplanted government regulators, they are often characterised as playing a mundane function where politically disinterested groups of technical experts generate optimal standards (Higgins &amp; Hallström, 2007).</w:t>
      </w:r>
    </w:p>
    <w:p w14:paraId="0C0D1F75" w14:textId="23BECAAE" w:rsidR="008B011C" w:rsidRPr="009D3E34" w:rsidRDefault="00172C24" w:rsidP="00C94BBB">
      <w:pPr>
        <w:pStyle w:val="nikoneindenttext15"/>
      </w:pPr>
      <w:r w:rsidRPr="009D3E34">
        <w:t xml:space="preserve">Within corporate reporting, </w:t>
      </w:r>
      <w:r w:rsidR="0041143E" w:rsidRPr="009D3E34">
        <w:t xml:space="preserve">private </w:t>
      </w:r>
      <w:r w:rsidR="00F40152" w:rsidRPr="009D3E34">
        <w:t>s</w:t>
      </w:r>
      <w:r w:rsidR="00075835" w:rsidRPr="009D3E34">
        <w:t>tandardis</w:t>
      </w:r>
      <w:r w:rsidR="00DE6C5F" w:rsidRPr="009D3E34">
        <w:t xml:space="preserve">ers must establish perceptions of legitimacy </w:t>
      </w:r>
      <w:r w:rsidR="008B011C" w:rsidRPr="009D3E34">
        <w:t>and convince their audiences that the ‘technical’ work of standard-setting remains untainted by politics: “regulatory objectivity, with its claims of neutrality and impartiality, thus acts to protect expertise from the pollution of politics” (Young, 2014: 717). To generate legitimacy</w:t>
      </w:r>
      <w:r w:rsidR="00DE6C5F" w:rsidRPr="009D3E34">
        <w:t>, accounting standardis</w:t>
      </w:r>
      <w:r w:rsidR="00075835" w:rsidRPr="009D3E34">
        <w:t xml:space="preserve">ation processes rely heavily on the ‘expertise’ of individuals and organisations characterised as technical, </w:t>
      </w:r>
      <w:proofErr w:type="gramStart"/>
      <w:r w:rsidR="00075835" w:rsidRPr="009D3E34">
        <w:t>neutral</w:t>
      </w:r>
      <w:proofErr w:type="gramEnd"/>
      <w:r w:rsidR="00075835" w:rsidRPr="009D3E34">
        <w:t xml:space="preserve"> and independent (</w:t>
      </w:r>
      <w:proofErr w:type="spellStart"/>
      <w:r w:rsidR="00075835" w:rsidRPr="009D3E34">
        <w:t>Malsch</w:t>
      </w:r>
      <w:proofErr w:type="spellEnd"/>
      <w:r w:rsidR="00075835" w:rsidRPr="009D3E34">
        <w:t>, 2013; Young, 2014).</w:t>
      </w:r>
      <w:r w:rsidR="00714D4D" w:rsidRPr="009D3E34">
        <w:t xml:space="preserve"> </w:t>
      </w:r>
      <w:r w:rsidR="008314EA" w:rsidRPr="009D3E34">
        <w:t>This is particularly prescient in forming sustainability reporting standards g</w:t>
      </w:r>
      <w:r w:rsidR="008B011C" w:rsidRPr="009D3E34">
        <w:t xml:space="preserve">iven the political dimension of </w:t>
      </w:r>
      <w:r w:rsidR="008314EA" w:rsidRPr="009D3E34">
        <w:t>such</w:t>
      </w:r>
      <w:r w:rsidR="008B011C" w:rsidRPr="009D3E34">
        <w:t xml:space="preserve"> reporting in providing visibility to </w:t>
      </w:r>
      <w:r w:rsidR="008314EA" w:rsidRPr="009D3E34">
        <w:t xml:space="preserve">the relations between firms, society and the environment, </w:t>
      </w:r>
      <w:r w:rsidR="008B011C" w:rsidRPr="009D3E34">
        <w:t xml:space="preserve">and the ambiguous nature of ‘sustainability’ </w:t>
      </w:r>
      <w:r w:rsidR="002B25AF" w:rsidRPr="009D3E34">
        <w:t xml:space="preserve">in offering a wide array of interpretations </w:t>
      </w:r>
      <w:r w:rsidR="008B011C" w:rsidRPr="009D3E34">
        <w:t>(Gray et al., 1995).</w:t>
      </w:r>
    </w:p>
    <w:p w14:paraId="08C3957C" w14:textId="0ABD2A36" w:rsidR="00C94BBB" w:rsidRPr="009D3E34" w:rsidRDefault="00714D4D" w:rsidP="00C94BBB">
      <w:pPr>
        <w:pStyle w:val="nikoneindenttext15"/>
      </w:pPr>
      <w:r w:rsidRPr="009D3E34">
        <w:t xml:space="preserve">Due process procedures that prescribe who can participate, how views are gathered, how views are considered and how decisions are made are </w:t>
      </w:r>
      <w:r w:rsidR="008B011C" w:rsidRPr="009D3E34">
        <w:t>theorised</w:t>
      </w:r>
      <w:r w:rsidRPr="009D3E34">
        <w:t xml:space="preserve"> to generate </w:t>
      </w:r>
      <w:r w:rsidR="00C94BBB" w:rsidRPr="009D3E34">
        <w:t xml:space="preserve">different forms of </w:t>
      </w:r>
      <w:r w:rsidRPr="009D3E34">
        <w:t xml:space="preserve">legitimacy </w:t>
      </w:r>
      <w:r w:rsidR="00C94BBB" w:rsidRPr="009D3E34">
        <w:t xml:space="preserve">across the standardisation cycle </w:t>
      </w:r>
      <w:r w:rsidRPr="009D3E34">
        <w:t xml:space="preserve">(Richardson &amp; </w:t>
      </w:r>
      <w:proofErr w:type="spellStart"/>
      <w:r w:rsidRPr="009D3E34">
        <w:t>Eberlein</w:t>
      </w:r>
      <w:proofErr w:type="spellEnd"/>
      <w:r w:rsidRPr="009D3E34">
        <w:t xml:space="preserve">, 2011; </w:t>
      </w:r>
      <w:proofErr w:type="spellStart"/>
      <w:r w:rsidRPr="009D3E34">
        <w:t>Malsch</w:t>
      </w:r>
      <w:proofErr w:type="spellEnd"/>
      <w:r w:rsidRPr="009D3E34">
        <w:t>, 2013; Young, 2014)</w:t>
      </w:r>
      <w:r w:rsidR="00C94BBB" w:rsidRPr="009D3E34">
        <w:t xml:space="preserve">. </w:t>
      </w:r>
      <w:r w:rsidR="009A3E40" w:rsidRPr="009D3E34">
        <w:t>I</w:t>
      </w:r>
      <w:r w:rsidR="0045281E" w:rsidRPr="009D3E34">
        <w:t>nput legitimacy is generated through open consultation and by enabling affected parties to have equal input opportunities</w:t>
      </w:r>
      <w:r w:rsidR="007921F1" w:rsidRPr="009D3E34">
        <w:t>; t</w:t>
      </w:r>
      <w:r w:rsidR="0045281E" w:rsidRPr="009D3E34">
        <w:t xml:space="preserve">hroughput legitimacy is generated from procedural fairness, transparency and </w:t>
      </w:r>
      <w:r w:rsidR="007921F1" w:rsidRPr="009D3E34">
        <w:t>ensuring</w:t>
      </w:r>
      <w:r w:rsidR="0045281E" w:rsidRPr="009D3E34">
        <w:t xml:space="preserve"> constituents’ views are materially considered</w:t>
      </w:r>
      <w:r w:rsidR="007921F1" w:rsidRPr="009D3E34">
        <w:t>; and output legitimacy is generated from those standards that enhance common welfare (</w:t>
      </w:r>
      <w:proofErr w:type="spellStart"/>
      <w:r w:rsidR="007921F1" w:rsidRPr="009D3E34">
        <w:t>Botzem</w:t>
      </w:r>
      <w:proofErr w:type="spellEnd"/>
      <w:r w:rsidR="007921F1" w:rsidRPr="009D3E34">
        <w:t xml:space="preserve"> &amp; </w:t>
      </w:r>
      <w:proofErr w:type="spellStart"/>
      <w:r w:rsidR="007921F1" w:rsidRPr="009D3E34">
        <w:t>Dobusch</w:t>
      </w:r>
      <w:proofErr w:type="spellEnd"/>
      <w:r w:rsidR="007921F1" w:rsidRPr="009D3E34">
        <w:t xml:space="preserve">, 2012; </w:t>
      </w:r>
      <w:proofErr w:type="spellStart"/>
      <w:r w:rsidR="007921F1" w:rsidRPr="009D3E34">
        <w:t>Albareda</w:t>
      </w:r>
      <w:proofErr w:type="spellEnd"/>
      <w:r w:rsidR="007921F1" w:rsidRPr="009D3E34">
        <w:t xml:space="preserve">, 2013; </w:t>
      </w:r>
      <w:proofErr w:type="spellStart"/>
      <w:r w:rsidR="007921F1" w:rsidRPr="009D3E34">
        <w:t>Pelger</w:t>
      </w:r>
      <w:proofErr w:type="spellEnd"/>
      <w:r w:rsidR="007921F1" w:rsidRPr="009D3E34">
        <w:t xml:space="preserve"> &amp; </w:t>
      </w:r>
      <w:proofErr w:type="spellStart"/>
      <w:r w:rsidR="007921F1" w:rsidRPr="009D3E34">
        <w:t>Speiß</w:t>
      </w:r>
      <w:proofErr w:type="spellEnd"/>
      <w:r w:rsidR="007921F1" w:rsidRPr="009D3E34">
        <w:t>, 2017).</w:t>
      </w:r>
      <w:r w:rsidR="00C94BBB" w:rsidRPr="009D3E34">
        <w:t xml:space="preserve"> </w:t>
      </w:r>
      <w:r w:rsidR="00995E9F" w:rsidRPr="009D3E34">
        <w:t>T</w:t>
      </w:r>
      <w:r w:rsidR="00C94BBB" w:rsidRPr="009D3E34">
        <w:t xml:space="preserve">he formation </w:t>
      </w:r>
      <w:r w:rsidR="00995E9F" w:rsidRPr="009D3E34">
        <w:t>of standards and their</w:t>
      </w:r>
      <w:r w:rsidR="00C94BBB" w:rsidRPr="009D3E34">
        <w:t xml:space="preserve"> diffusion </w:t>
      </w:r>
      <w:r w:rsidR="00995E9F" w:rsidRPr="009D3E34">
        <w:t xml:space="preserve">can </w:t>
      </w:r>
      <w:r w:rsidR="006F3C43" w:rsidRPr="009D3E34">
        <w:t xml:space="preserve">also </w:t>
      </w:r>
      <w:r w:rsidR="00C94BBB" w:rsidRPr="009D3E34">
        <w:t>recursively influence each other</w:t>
      </w:r>
      <w:r w:rsidR="006F3C43" w:rsidRPr="009D3E34">
        <w:t xml:space="preserve"> (</w:t>
      </w:r>
      <w:proofErr w:type="spellStart"/>
      <w:r w:rsidR="006F3C43" w:rsidRPr="009D3E34">
        <w:t>Botzem</w:t>
      </w:r>
      <w:proofErr w:type="spellEnd"/>
      <w:r w:rsidR="006F3C43" w:rsidRPr="009D3E34">
        <w:t xml:space="preserve"> &amp; </w:t>
      </w:r>
      <w:proofErr w:type="spellStart"/>
      <w:r w:rsidR="006F3C43" w:rsidRPr="009D3E34">
        <w:t>Dobusch</w:t>
      </w:r>
      <w:proofErr w:type="spellEnd"/>
      <w:r w:rsidR="006F3C43" w:rsidRPr="009D3E34">
        <w:t>, 2012)</w:t>
      </w:r>
      <w:r w:rsidR="00995E9F" w:rsidRPr="009D3E34">
        <w:t xml:space="preserve">. For example, </w:t>
      </w:r>
      <w:r w:rsidR="00C94BBB" w:rsidRPr="009D3E34">
        <w:t>standard</w:t>
      </w:r>
      <w:r w:rsidR="00995E9F" w:rsidRPr="009D3E34">
        <w:t>isers</w:t>
      </w:r>
      <w:r w:rsidR="00C94BBB" w:rsidRPr="009D3E34">
        <w:t xml:space="preserve"> </w:t>
      </w:r>
      <w:r w:rsidR="006F3C43" w:rsidRPr="009D3E34">
        <w:t>can gain input legitimacy by be</w:t>
      </w:r>
      <w:r w:rsidR="00C94BBB" w:rsidRPr="009D3E34">
        <w:t xml:space="preserve">ing inclusive, </w:t>
      </w:r>
      <w:r w:rsidR="00C53A90" w:rsidRPr="009D3E34">
        <w:t>which itself generates</w:t>
      </w:r>
      <w:r w:rsidR="00C94BBB" w:rsidRPr="009D3E34">
        <w:t xml:space="preserve"> output legitimacy as the</w:t>
      </w:r>
      <w:r w:rsidR="006F3C43" w:rsidRPr="009D3E34">
        <w:t xml:space="preserve">ir standards </w:t>
      </w:r>
      <w:r w:rsidR="00C94BBB" w:rsidRPr="009D3E34">
        <w:t xml:space="preserve">get adopted (due to </w:t>
      </w:r>
      <w:r w:rsidR="00BB4598" w:rsidRPr="009D3E34">
        <w:t>inclusive</w:t>
      </w:r>
      <w:r w:rsidR="00C94BBB" w:rsidRPr="009D3E34">
        <w:t xml:space="preserve"> participation).</w:t>
      </w:r>
    </w:p>
    <w:p w14:paraId="4D793E2A" w14:textId="3D1C46B0" w:rsidR="00BB4598" w:rsidRPr="009D3E34" w:rsidRDefault="00BB4598" w:rsidP="00BB4598">
      <w:pPr>
        <w:pStyle w:val="nikoneindenttext15"/>
      </w:pPr>
      <w:r w:rsidRPr="009D3E34">
        <w:t xml:space="preserve">The importance of establishing legitimacy in sustainability reporting can be observed in studies analysing specific standardisers. </w:t>
      </w:r>
      <w:r w:rsidR="00F1569D" w:rsidRPr="009D3E34">
        <w:t xml:space="preserve">In the context of integrated reporting, Humphrey et al. (2017) observe the ‘boundary work’ used by the IIRC to soften distinctions between its own vision and those of other standardisers </w:t>
      </w:r>
      <w:proofErr w:type="gramStart"/>
      <w:r w:rsidR="00F1569D" w:rsidRPr="009D3E34">
        <w:t>in order to</w:t>
      </w:r>
      <w:proofErr w:type="gramEnd"/>
      <w:r w:rsidR="00F1569D" w:rsidRPr="009D3E34">
        <w:t xml:space="preserve"> reduce a perceived threat of colonisation and </w:t>
      </w:r>
      <w:r w:rsidR="00F1569D" w:rsidRPr="009D3E34">
        <w:lastRenderedPageBreak/>
        <w:t xml:space="preserve">gain legitimacy and support. </w:t>
      </w:r>
      <w:r w:rsidRPr="009D3E34">
        <w:t xml:space="preserve">Studies focused on the emergence of the GRI emphasise how </w:t>
      </w:r>
      <w:r w:rsidR="002B25AF" w:rsidRPr="009D3E34">
        <w:t>it</w:t>
      </w:r>
      <w:r w:rsidRPr="009D3E34">
        <w:t xml:space="preserve"> sought support and cooperation through inclusiveness, participative decision-making and by not seeking to challenge existing institutions and belief systems (Brown et al., 2009; Etzion &amp; Ferraro, 2010; Levy et al., 2010). </w:t>
      </w:r>
      <w:bookmarkStart w:id="8" w:name="_Hlk110609533"/>
      <w:r w:rsidR="00FD697C" w:rsidRPr="009D3E34">
        <w:t xml:space="preserve">However, whilst rhetorical strategies can be used to maintain ideological flexibility over the meaning of ‘sustainability’ and thereby generate support, </w:t>
      </w:r>
      <w:r w:rsidRPr="009D3E34">
        <w:t xml:space="preserve">these studies infer that the </w:t>
      </w:r>
      <w:r w:rsidR="00B9387A" w:rsidRPr="009D3E34">
        <w:t xml:space="preserve">inclusive </w:t>
      </w:r>
      <w:r w:rsidRPr="009D3E34">
        <w:t xml:space="preserve">quest for ‘input legitimacy’ </w:t>
      </w:r>
      <w:r w:rsidR="00B9387A" w:rsidRPr="009D3E34">
        <w:t xml:space="preserve">can </w:t>
      </w:r>
      <w:r w:rsidRPr="009D3E34">
        <w:t>weaken ‘output legitimacy’</w:t>
      </w:r>
      <w:bookmarkEnd w:id="8"/>
      <w:r w:rsidRPr="009D3E34">
        <w:t xml:space="preserve"> (Brown et al., 2009; Etzion &amp; Ferraro, 2010).</w:t>
      </w:r>
    </w:p>
    <w:p w14:paraId="1821924A" w14:textId="77777777" w:rsidR="00C53A90" w:rsidRPr="009D3E34" w:rsidRDefault="00C53A90" w:rsidP="00BB4598">
      <w:pPr>
        <w:pStyle w:val="nikoneindenttext15"/>
      </w:pPr>
    </w:p>
    <w:p w14:paraId="759314FE" w14:textId="6546CDBE" w:rsidR="00BB4598" w:rsidRPr="009D3E34" w:rsidRDefault="00BB4598" w:rsidP="00BB4598">
      <w:pPr>
        <w:pStyle w:val="nikoneindenttext15"/>
      </w:pPr>
      <w:r w:rsidRPr="009D3E34">
        <w:t xml:space="preserve">The focus on technical expertise, and the due processes used to establish legitimacy can mask the ethical and political dimensions of standardisation </w:t>
      </w:r>
      <w:r w:rsidR="007E6386" w:rsidRPr="009D3E34">
        <w:t xml:space="preserve">and obscure the power relations influencing specific standards </w:t>
      </w:r>
      <w:r w:rsidRPr="009D3E34">
        <w:t>(Walker &amp; Robinson, 1993; Young, 2003; Young, 2014; Warren et al., 2020)</w:t>
      </w:r>
      <w:r w:rsidR="00723918" w:rsidRPr="009D3E34">
        <w:t xml:space="preserve">. </w:t>
      </w:r>
      <w:r w:rsidR="00B0623F" w:rsidRPr="009D3E34">
        <w:t xml:space="preserve">Accounting standard-setting remains political in nature (Kwok &amp; Sharp, 2005) and the technical knowledge inscribed into a standard is local and situated within its social and political context. </w:t>
      </w:r>
      <w:r w:rsidR="00F926E8" w:rsidRPr="009D3E34">
        <w:t>As Hope &amp; Gray (1982) note, there is little to be gained by treating the deliberations of policy-making bodies as purely technical.</w:t>
      </w:r>
    </w:p>
    <w:p w14:paraId="7DF759C6" w14:textId="23FF1601" w:rsidR="00B9387A" w:rsidRPr="009D3E34" w:rsidRDefault="00B9387A" w:rsidP="00B9387A">
      <w:pPr>
        <w:pStyle w:val="nikoneindenttext15"/>
      </w:pPr>
      <w:r w:rsidRPr="009D3E34">
        <w:t>Furthermore, the nature and timing of participation in due processes is generally controlled by the standardiser (Young, 2014) and participation can favour privileged actors with greater access to resources (</w:t>
      </w:r>
      <w:proofErr w:type="spellStart"/>
      <w:r w:rsidRPr="009D3E34">
        <w:t>Botzem</w:t>
      </w:r>
      <w:proofErr w:type="spellEnd"/>
      <w:r w:rsidRPr="009D3E34">
        <w:t xml:space="preserve"> &amp; </w:t>
      </w:r>
      <w:proofErr w:type="spellStart"/>
      <w:r w:rsidRPr="009D3E34">
        <w:t>Dobusch</w:t>
      </w:r>
      <w:proofErr w:type="spellEnd"/>
      <w:r w:rsidRPr="009D3E34">
        <w:t>, 2012). Within sustainability reporting standardisation, accountants can use their epistemic authority and control of specialised accounting knowledge to arbitrate in disputes between investors and civil society over issues such as materiality, ‘capital’ and users (</w:t>
      </w:r>
      <w:proofErr w:type="spellStart"/>
      <w:r w:rsidRPr="009D3E34">
        <w:t>Thistlethwaite</w:t>
      </w:r>
      <w:proofErr w:type="spellEnd"/>
      <w:r w:rsidRPr="009D3E34">
        <w:t xml:space="preserve"> &amp; Paterson, 2016). Tensions arise when ‘neutral’ experts represent </w:t>
      </w:r>
      <w:proofErr w:type="gramStart"/>
      <w:r w:rsidRPr="009D3E34">
        <w:t>particular interests</w:t>
      </w:r>
      <w:proofErr w:type="gramEnd"/>
      <w:r w:rsidRPr="009D3E34">
        <w:t xml:space="preserve"> or epistemic communities committed to specific knowledge templates, ideologies and political values (</w:t>
      </w:r>
      <w:proofErr w:type="spellStart"/>
      <w:r w:rsidRPr="009D3E34">
        <w:t>Baudot</w:t>
      </w:r>
      <w:proofErr w:type="spellEnd"/>
      <w:r w:rsidRPr="009D3E34">
        <w:t>, 2018; Hallstrom, 2000). Whilst standards can support a particular set of values, they don’t leave an audit trail explaining their rationale (</w:t>
      </w:r>
      <w:proofErr w:type="spellStart"/>
      <w:r w:rsidRPr="009D3E34">
        <w:t>Fischhoff</w:t>
      </w:r>
      <w:proofErr w:type="spellEnd"/>
      <w:r w:rsidRPr="009D3E34">
        <w:t>, 1984).</w:t>
      </w:r>
    </w:p>
    <w:p w14:paraId="09495FAA" w14:textId="2D841BC9" w:rsidR="00F112DA" w:rsidRPr="009D3E34" w:rsidRDefault="00F112DA" w:rsidP="00F112DA">
      <w:pPr>
        <w:pStyle w:val="nikoneindenttext15"/>
      </w:pPr>
      <w:r w:rsidRPr="009D3E34">
        <w:t>Standards act as instruments of power (</w:t>
      </w:r>
      <w:proofErr w:type="spellStart"/>
      <w:r w:rsidRPr="009D3E34">
        <w:t>Mattli</w:t>
      </w:r>
      <w:proofErr w:type="spellEnd"/>
      <w:r w:rsidRPr="009D3E34">
        <w:t xml:space="preserve"> &amp; </w:t>
      </w:r>
      <w:proofErr w:type="spellStart"/>
      <w:r w:rsidRPr="009D3E34">
        <w:t>B</w:t>
      </w:r>
      <w:r w:rsidR="00352189" w:rsidRPr="009D3E34">
        <w:t>ü</w:t>
      </w:r>
      <w:r w:rsidRPr="009D3E34">
        <w:t>the</w:t>
      </w:r>
      <w:proofErr w:type="spellEnd"/>
      <w:r w:rsidRPr="009D3E34">
        <w:t xml:space="preserve">, 2003; Bengtsson, 2011) and power relations influence </w:t>
      </w:r>
      <w:r w:rsidR="007E6386" w:rsidRPr="009D3E34">
        <w:t>how accounting standards are constructed</w:t>
      </w:r>
      <w:r w:rsidRPr="009D3E34">
        <w:t xml:space="preserve"> (Cooper &amp; Sherer, 1984; Cousins &amp; Sikka, 1993; Broadbent &amp; Laughlin, 2002; Durocher et al., 2007; </w:t>
      </w:r>
      <w:proofErr w:type="spellStart"/>
      <w:r w:rsidRPr="009D3E34">
        <w:t>Contrafatto</w:t>
      </w:r>
      <w:proofErr w:type="spellEnd"/>
      <w:r w:rsidRPr="009D3E34">
        <w:t xml:space="preserve"> et al., 2020). </w:t>
      </w:r>
      <w:r w:rsidR="00DE7A76" w:rsidRPr="009D3E34">
        <w:t xml:space="preserve">Private standardisers cannot constrain power over distributional </w:t>
      </w:r>
      <w:proofErr w:type="gramStart"/>
      <w:r w:rsidR="00DE7A76" w:rsidRPr="009D3E34">
        <w:t>conflicts</w:t>
      </w:r>
      <w:proofErr w:type="gramEnd"/>
      <w:r w:rsidR="00DE7A76" w:rsidRPr="009D3E34">
        <w:t xml:space="preserve"> but interest groups are redirected into a proxy battle over control of the standardiser itself (</w:t>
      </w:r>
      <w:proofErr w:type="spellStart"/>
      <w:r w:rsidR="00DE7A76" w:rsidRPr="009D3E34">
        <w:t>Mattli</w:t>
      </w:r>
      <w:proofErr w:type="spellEnd"/>
      <w:r w:rsidR="00DE7A76" w:rsidRPr="009D3E34">
        <w:t xml:space="preserve"> &amp; </w:t>
      </w:r>
      <w:proofErr w:type="spellStart"/>
      <w:r w:rsidR="00DE7A76" w:rsidRPr="009D3E34">
        <w:t>B</w:t>
      </w:r>
      <w:r w:rsidR="00352189" w:rsidRPr="009D3E34">
        <w:t>ü</w:t>
      </w:r>
      <w:r w:rsidR="00DE7A76" w:rsidRPr="009D3E34">
        <w:t>the</w:t>
      </w:r>
      <w:proofErr w:type="spellEnd"/>
      <w:r w:rsidR="00DE7A76" w:rsidRPr="009D3E34">
        <w:t xml:space="preserve">, 2003). </w:t>
      </w:r>
      <w:r w:rsidRPr="009D3E34">
        <w:t>The control of accounting standard-setting bodies (</w:t>
      </w:r>
      <w:r w:rsidR="00FB392D" w:rsidRPr="009D3E34">
        <w:t xml:space="preserve">via </w:t>
      </w:r>
      <w:r w:rsidRPr="009D3E34">
        <w:t xml:space="preserve">their values, </w:t>
      </w:r>
      <w:proofErr w:type="gramStart"/>
      <w:r w:rsidRPr="009D3E34">
        <w:t>vocabulary</w:t>
      </w:r>
      <w:proofErr w:type="gramEnd"/>
      <w:r w:rsidRPr="009D3E34">
        <w:t xml:space="preserve"> and agenda) </w:t>
      </w:r>
      <w:r w:rsidR="002E07C0" w:rsidRPr="009D3E34">
        <w:t xml:space="preserve">therefore </w:t>
      </w:r>
      <w:r w:rsidRPr="009D3E34">
        <w:t>provides the means to define those issues that will receive attention or b</w:t>
      </w:r>
      <w:r w:rsidR="00FB392D" w:rsidRPr="009D3E34">
        <w:t>e</w:t>
      </w:r>
      <w:r w:rsidRPr="009D3E34">
        <w:t xml:space="preserve"> </w:t>
      </w:r>
      <w:r w:rsidRPr="009D3E34">
        <w:lastRenderedPageBreak/>
        <w:t xml:space="preserve">marginalised (Sikka, 2002). Power relations influence what is and what is not on the regulatory agenda, </w:t>
      </w:r>
      <w:r w:rsidR="00565E2F" w:rsidRPr="009D3E34">
        <w:t xml:space="preserve">and </w:t>
      </w:r>
      <w:r w:rsidRPr="009D3E34">
        <w:t>the nature of the choices available.</w:t>
      </w:r>
    </w:p>
    <w:p w14:paraId="5883AAF6" w14:textId="73EEC345" w:rsidR="008B5EE8" w:rsidRPr="009D3E34" w:rsidRDefault="00F112DA" w:rsidP="008B5EE8">
      <w:pPr>
        <w:pStyle w:val="nikoneindenttext15"/>
      </w:pPr>
      <w:r w:rsidRPr="009D3E34">
        <w:t xml:space="preserve">Given the political nature of sustainability standards and their ability to provide visibility to potentially harmful corporate activity, and resultant shifts in support and resources, power relations are likely to be significant. </w:t>
      </w:r>
      <w:r w:rsidR="00B20D71" w:rsidRPr="009D3E34">
        <w:t xml:space="preserve">As a key theoretical construct in the political economy of accounting regulation (Cooper &amp; Sherer, 1984; Kwok &amp; Sharp, 2005; Carter et al., 2010; Bengtsson, 2011), </w:t>
      </w:r>
      <w:bookmarkStart w:id="9" w:name="_Hlk89349220"/>
      <w:r w:rsidR="00234C6F" w:rsidRPr="009D3E34">
        <w:t>conceptualisations of ‘power over’ emphasise how the role of funding, participation, agenda-</w:t>
      </w:r>
      <w:proofErr w:type="gramStart"/>
      <w:r w:rsidR="00234C6F" w:rsidRPr="009D3E34">
        <w:t>setting</w:t>
      </w:r>
      <w:proofErr w:type="gramEnd"/>
      <w:r w:rsidR="00234C6F" w:rsidRPr="009D3E34">
        <w:t xml:space="preserve"> and ideology can influence the standard-setting process</w:t>
      </w:r>
      <w:bookmarkEnd w:id="9"/>
      <w:r w:rsidR="00234C6F" w:rsidRPr="009D3E34">
        <w:t xml:space="preserve">. </w:t>
      </w:r>
      <w:bookmarkStart w:id="10" w:name="_Hlk89349267"/>
      <w:r w:rsidR="00234C6F" w:rsidRPr="009D3E34">
        <w:t xml:space="preserve">The means by which power relations can operate is illuminated by the work of </w:t>
      </w:r>
      <w:proofErr w:type="spellStart"/>
      <w:r w:rsidR="00234C6F" w:rsidRPr="009D3E34">
        <w:t>Lukes</w:t>
      </w:r>
      <w:proofErr w:type="spellEnd"/>
      <w:r w:rsidR="00234C6F" w:rsidRPr="009D3E34">
        <w:t xml:space="preserve"> (2005) who sought to differentiate the normative assumptions upon which existing accounts of ‘power over’ were based and, in doing so, classified ‘power over’ into three dimensions</w:t>
      </w:r>
      <w:r w:rsidR="0041143E" w:rsidRPr="009D3E34">
        <w:t xml:space="preserve">: </w:t>
      </w:r>
      <w:r w:rsidR="00234C6F" w:rsidRPr="009D3E34">
        <w:t xml:space="preserve">a 1-D view, exemplified by Dahl (1984), </w:t>
      </w:r>
      <w:r w:rsidR="0079767C" w:rsidRPr="009D3E34">
        <w:t xml:space="preserve">referred to </w:t>
      </w:r>
      <w:r w:rsidR="00234C6F" w:rsidRPr="009D3E34">
        <w:t xml:space="preserve">overt demonstrations of power where </w:t>
      </w:r>
      <w:r w:rsidR="00B9387A" w:rsidRPr="009D3E34">
        <w:t xml:space="preserve">observable </w:t>
      </w:r>
      <w:r w:rsidR="00234C6F" w:rsidRPr="009D3E34">
        <w:t xml:space="preserve">conflict is </w:t>
      </w:r>
      <w:r w:rsidR="006F0F86" w:rsidRPr="009D3E34">
        <w:t>seen</w:t>
      </w:r>
      <w:r w:rsidR="00234C6F" w:rsidRPr="009D3E34">
        <w:t xml:space="preserve"> by participation in the decision-making process</w:t>
      </w:r>
      <w:r w:rsidR="0079767C" w:rsidRPr="009D3E34">
        <w:t xml:space="preserve">; </w:t>
      </w:r>
      <w:r w:rsidR="00234C6F" w:rsidRPr="009D3E34">
        <w:t xml:space="preserve">A 2-D view recognised </w:t>
      </w:r>
      <w:r w:rsidR="006F0F86" w:rsidRPr="009D3E34">
        <w:t xml:space="preserve">more covert applications of power where </w:t>
      </w:r>
      <w:r w:rsidR="00234C6F" w:rsidRPr="009D3E34">
        <w:t xml:space="preserve">agenda building, agenda-setting and the mobilisation of covert bias could facilitate some decisions and exclude others </w:t>
      </w:r>
      <w:r w:rsidR="00234C6F" w:rsidRPr="009D3E34">
        <w:rPr>
          <w:szCs w:val="24"/>
        </w:rPr>
        <w:t xml:space="preserve">(see </w:t>
      </w:r>
      <w:r w:rsidR="00234C6F" w:rsidRPr="009D3E34">
        <w:t xml:space="preserve">Bachrach &amp; </w:t>
      </w:r>
      <w:proofErr w:type="spellStart"/>
      <w:r w:rsidR="00234C6F" w:rsidRPr="009D3E34">
        <w:t>Baratz</w:t>
      </w:r>
      <w:proofErr w:type="spellEnd"/>
      <w:r w:rsidR="00234C6F" w:rsidRPr="009D3E34">
        <w:t xml:space="preserve"> 1970</w:t>
      </w:r>
      <w:r w:rsidR="00234C6F" w:rsidRPr="009D3E34">
        <w:rPr>
          <w:szCs w:val="24"/>
        </w:rPr>
        <w:t>)</w:t>
      </w:r>
      <w:r w:rsidR="0079767C" w:rsidRPr="009D3E34">
        <w:rPr>
          <w:szCs w:val="24"/>
        </w:rPr>
        <w:t xml:space="preserve">; and a </w:t>
      </w:r>
      <w:r w:rsidR="00234C6F" w:rsidRPr="009D3E34">
        <w:rPr>
          <w:szCs w:val="24"/>
        </w:rPr>
        <w:t>3-D view</w:t>
      </w:r>
      <w:r w:rsidR="00234C6F" w:rsidRPr="009D3E34">
        <w:t xml:space="preserve"> extends the analytical scope to consider the power relations that encompass non-decision making such as how particular issues are not brought onto the agenda due to </w:t>
      </w:r>
      <w:r w:rsidR="006F0F86" w:rsidRPr="009D3E34">
        <w:t xml:space="preserve">extant </w:t>
      </w:r>
      <w:r w:rsidR="00234C6F" w:rsidRPr="009D3E34">
        <w:t>perceptions of power (</w:t>
      </w:r>
      <w:proofErr w:type="spellStart"/>
      <w:r w:rsidR="00234C6F" w:rsidRPr="009D3E34">
        <w:t>Lukes</w:t>
      </w:r>
      <w:proofErr w:type="spellEnd"/>
      <w:r w:rsidR="00234C6F" w:rsidRPr="009D3E34">
        <w:t>, 2005).</w:t>
      </w:r>
      <w:bookmarkEnd w:id="10"/>
      <w:r w:rsidR="005A0E9D" w:rsidRPr="009D3E34">
        <w:t xml:space="preserve"> </w:t>
      </w:r>
      <w:proofErr w:type="spellStart"/>
      <w:proofErr w:type="gramStart"/>
      <w:r w:rsidR="00DD4520" w:rsidRPr="009D3E34">
        <w:t>Lukes</w:t>
      </w:r>
      <w:proofErr w:type="spellEnd"/>
      <w:proofErr w:type="gramEnd"/>
      <w:r w:rsidR="00DD4520" w:rsidRPr="009D3E34">
        <w:t xml:space="preserve"> classification of ‘power over’ has been extended (Fleming &amp; Spicer, 2014) with the introduction of a fourth dimension – subjectification – that captures the influence on one’s sense of self through normalising discourses and surveillance that invoke self-regulation. </w:t>
      </w:r>
      <w:r w:rsidR="00F665E8" w:rsidRPr="009D3E34">
        <w:t>Whilst due processes are used by standardisers to demonstrate legitimacy, power relations remain as an underlying influence on the formation of consensus, and the boundaries within which a standard may b</w:t>
      </w:r>
      <w:r w:rsidR="00CC2A97" w:rsidRPr="009D3E34">
        <w:t>e</w:t>
      </w:r>
      <w:r w:rsidR="00F665E8" w:rsidRPr="009D3E34">
        <w:t xml:space="preserve"> constructed. </w:t>
      </w:r>
    </w:p>
    <w:p w14:paraId="6D6F2C4D" w14:textId="4E429514" w:rsidR="00F665E8" w:rsidRPr="009D3E34" w:rsidRDefault="00F665E8" w:rsidP="005A0E9D">
      <w:pPr>
        <w:pStyle w:val="nikoneindenttext15"/>
      </w:pPr>
    </w:p>
    <w:p w14:paraId="53AD32F8" w14:textId="43F4E3A6" w:rsidR="004A21EF" w:rsidRPr="009D3E34" w:rsidRDefault="00673DFC" w:rsidP="004A21EF">
      <w:pPr>
        <w:pStyle w:val="nikoneindenttext15"/>
      </w:pPr>
      <w:proofErr w:type="spellStart"/>
      <w:r w:rsidRPr="009D3E34">
        <w:t>Lukes</w:t>
      </w:r>
      <w:proofErr w:type="spellEnd"/>
      <w:r w:rsidRPr="009D3E34">
        <w:t xml:space="preserve">’ </w:t>
      </w:r>
      <w:r w:rsidR="00E60CC2" w:rsidRPr="009D3E34">
        <w:t xml:space="preserve">conceptualisation </w:t>
      </w:r>
      <w:r w:rsidR="00C21199" w:rsidRPr="009D3E34">
        <w:t xml:space="preserve">and classification </w:t>
      </w:r>
      <w:r w:rsidR="00E60CC2" w:rsidRPr="009D3E34">
        <w:t xml:space="preserve">of power has been commonly used in research </w:t>
      </w:r>
      <w:r w:rsidR="005A0E9D" w:rsidRPr="009D3E34">
        <w:t xml:space="preserve">analysing </w:t>
      </w:r>
      <w:r w:rsidR="00E60CC2" w:rsidRPr="009D3E34">
        <w:t>accounting regulation and standardisation</w:t>
      </w:r>
      <w:r w:rsidR="005A0E9D" w:rsidRPr="009D3E34">
        <w:t xml:space="preserve"> (</w:t>
      </w:r>
      <w:r w:rsidR="00E60CC2" w:rsidRPr="009D3E34">
        <w:t xml:space="preserve">Hope &amp; Gray, 1982; </w:t>
      </w:r>
      <w:r w:rsidR="005A0E9D" w:rsidRPr="009D3E34">
        <w:t xml:space="preserve">Merino et al. 2010; </w:t>
      </w:r>
      <w:proofErr w:type="spellStart"/>
      <w:r w:rsidR="005A0E9D" w:rsidRPr="009D3E34">
        <w:t>Malsch</w:t>
      </w:r>
      <w:proofErr w:type="spellEnd"/>
      <w:r w:rsidR="005A0E9D" w:rsidRPr="009D3E34">
        <w:t xml:space="preserve"> &amp; Gendron, 2011; </w:t>
      </w:r>
      <w:r w:rsidR="00C908C1" w:rsidRPr="009D3E34">
        <w:t xml:space="preserve">Carter et al., 2011; Zhang et al., 2012; </w:t>
      </w:r>
      <w:r w:rsidR="00E60CC2" w:rsidRPr="009D3E34">
        <w:t>Rowbottom &amp; Schroeder, 2014</w:t>
      </w:r>
      <w:r w:rsidR="00C908C1" w:rsidRPr="009D3E34">
        <w:t>)</w:t>
      </w:r>
      <w:r w:rsidR="00C21199" w:rsidRPr="009D3E34">
        <w:t>. In this paper</w:t>
      </w:r>
      <w:r w:rsidRPr="009D3E34">
        <w:t>, th</w:t>
      </w:r>
      <w:r w:rsidR="00C21199" w:rsidRPr="009D3E34">
        <w:t xml:space="preserve">e </w:t>
      </w:r>
      <w:r w:rsidRPr="009D3E34">
        <w:t xml:space="preserve">focus </w:t>
      </w:r>
      <w:r w:rsidR="00A05D9B" w:rsidRPr="009D3E34">
        <w:t xml:space="preserve">moves away from 1-D views of power that assume all actors in the decision-making process operate under conditions of perfect </w:t>
      </w:r>
      <w:proofErr w:type="gramStart"/>
      <w:r w:rsidR="00A05D9B" w:rsidRPr="009D3E34">
        <w:t>competition</w:t>
      </w:r>
      <w:r w:rsidR="00F107B3" w:rsidRPr="009D3E34">
        <w:t>, and</w:t>
      </w:r>
      <w:proofErr w:type="gramEnd"/>
      <w:r w:rsidR="00F107B3" w:rsidRPr="009D3E34">
        <w:t xml:space="preserve"> </w:t>
      </w:r>
      <w:r w:rsidR="00C21199" w:rsidRPr="009D3E34">
        <w:t xml:space="preserve">is placed </w:t>
      </w:r>
      <w:r w:rsidRPr="009D3E34">
        <w:t xml:space="preserve">on </w:t>
      </w:r>
      <w:r w:rsidR="00A05D9B" w:rsidRPr="009D3E34">
        <w:t xml:space="preserve">more </w:t>
      </w:r>
      <w:r w:rsidRPr="009D3E34">
        <w:t xml:space="preserve">covert </w:t>
      </w:r>
      <w:r w:rsidR="00A05D9B" w:rsidRPr="009D3E34">
        <w:t xml:space="preserve">dimensions of </w:t>
      </w:r>
      <w:r w:rsidRPr="009D3E34">
        <w:t>power</w:t>
      </w:r>
      <w:r w:rsidR="00F107B3" w:rsidRPr="009D3E34">
        <w:t>.</w:t>
      </w:r>
      <w:r w:rsidRPr="009D3E34">
        <w:t xml:space="preserve"> </w:t>
      </w:r>
      <w:bookmarkStart w:id="11" w:name="_Hlk89349353"/>
      <w:r w:rsidR="00F77774" w:rsidRPr="009D3E34">
        <w:t xml:space="preserve">Whereas prior literature generally </w:t>
      </w:r>
      <w:r w:rsidR="00F9792D" w:rsidRPr="009D3E34">
        <w:t>examines</w:t>
      </w:r>
      <w:r w:rsidR="00F77774" w:rsidRPr="009D3E34">
        <w:t xml:space="preserve"> individual standardisers and how they generate legitimacy for their standards, this paper focuses on </w:t>
      </w:r>
      <w:r w:rsidR="00CC408D" w:rsidRPr="009D3E34">
        <w:t xml:space="preserve">how </w:t>
      </w:r>
      <w:r w:rsidR="00C53A90" w:rsidRPr="009D3E34">
        <w:t>power operates withi</w:t>
      </w:r>
      <w:r w:rsidR="00CC408D" w:rsidRPr="009D3E34">
        <w:t xml:space="preserve">n </w:t>
      </w:r>
      <w:r w:rsidR="00F77774" w:rsidRPr="009D3E34">
        <w:t xml:space="preserve">collaborative standardising initiatives that comprise of several </w:t>
      </w:r>
      <w:r w:rsidR="00F77774" w:rsidRPr="009D3E34">
        <w:lastRenderedPageBreak/>
        <w:t xml:space="preserve">different standardisers, each with their own respective standards. </w:t>
      </w:r>
      <w:r w:rsidR="00F107B3" w:rsidRPr="009D3E34">
        <w:t>The analysis therefore focuses on how collaborative initiatives are used to set the agenda</w:t>
      </w:r>
      <w:r w:rsidR="00DD4520" w:rsidRPr="009D3E34">
        <w:t xml:space="preserve">, </w:t>
      </w:r>
      <w:proofErr w:type="gramStart"/>
      <w:r w:rsidR="00F107B3" w:rsidRPr="009D3E34">
        <w:t>direction</w:t>
      </w:r>
      <w:proofErr w:type="gramEnd"/>
      <w:r w:rsidR="00F107B3" w:rsidRPr="009D3E34">
        <w:t xml:space="preserve"> </w:t>
      </w:r>
      <w:r w:rsidR="00DD4520" w:rsidRPr="009D3E34">
        <w:t xml:space="preserve">and legitimacy </w:t>
      </w:r>
      <w:r w:rsidR="00F107B3" w:rsidRPr="009D3E34">
        <w:t xml:space="preserve">of </w:t>
      </w:r>
      <w:r w:rsidR="00DD4520" w:rsidRPr="009D3E34">
        <w:t xml:space="preserve">specific </w:t>
      </w:r>
      <w:r w:rsidR="00F107B3" w:rsidRPr="009D3E34">
        <w:t xml:space="preserve">sustainability reporting standardisation activity. </w:t>
      </w:r>
      <w:r w:rsidR="004A21EF" w:rsidRPr="009D3E34">
        <w:t>In the next subsection, the paper proceeds by considering how legitimacy generation, power relations, consensus-building and standard-setting are influenced by, and can operate within, collaborative initiatives.</w:t>
      </w:r>
    </w:p>
    <w:p w14:paraId="7490BE8E" w14:textId="77777777" w:rsidR="00AF43CF" w:rsidRPr="009D3E34" w:rsidRDefault="00AF43CF" w:rsidP="00C908C1">
      <w:pPr>
        <w:pStyle w:val="nikoneindenttext15"/>
      </w:pPr>
    </w:p>
    <w:bookmarkEnd w:id="11"/>
    <w:p w14:paraId="655F3E99" w14:textId="2631C32C" w:rsidR="00BA62E5" w:rsidRPr="009D3E34" w:rsidRDefault="00275C35" w:rsidP="00BA62E5">
      <w:pPr>
        <w:pStyle w:val="niksemisubtitle"/>
      </w:pPr>
      <w:r w:rsidRPr="009D3E34">
        <w:t xml:space="preserve">2.2 </w:t>
      </w:r>
      <w:r w:rsidR="00967A73" w:rsidRPr="009D3E34">
        <w:t xml:space="preserve">Mechanisms of Covert Power </w:t>
      </w:r>
      <w:r w:rsidR="00AA549C" w:rsidRPr="009D3E34">
        <w:t>w</w:t>
      </w:r>
      <w:r w:rsidR="00AF5A75" w:rsidRPr="009D3E34">
        <w:t>ithin Collaborative Initiatives</w:t>
      </w:r>
    </w:p>
    <w:p w14:paraId="2972FBD0" w14:textId="5ACFB86E" w:rsidR="00186B58" w:rsidRPr="009D3E34" w:rsidRDefault="001F5B6C" w:rsidP="00C14CA0">
      <w:pPr>
        <w:pStyle w:val="nikoneindenttext15"/>
      </w:pPr>
      <w:r w:rsidRPr="009D3E34">
        <w:t>C</w:t>
      </w:r>
      <w:r w:rsidR="002657A1" w:rsidRPr="009D3E34">
        <w:t xml:space="preserve">ollaboration enables standardisers to </w:t>
      </w:r>
      <w:r w:rsidR="001F37FF" w:rsidRPr="009D3E34">
        <w:t xml:space="preserve">increase the legitimacy of their standards in the eyes of users and regulators. By offering a consensual position, standardisers can </w:t>
      </w:r>
      <w:r w:rsidR="00F9792D" w:rsidRPr="009D3E34">
        <w:t xml:space="preserve">therefore </w:t>
      </w:r>
      <w:r w:rsidR="001F37FF" w:rsidRPr="009D3E34">
        <w:t>seek to establish the normativity of specific visions of sustainability reporting (Bebbington et al., 2012).</w:t>
      </w:r>
      <w:r w:rsidR="00186B58" w:rsidRPr="009D3E34">
        <w:t xml:space="preserve"> </w:t>
      </w:r>
      <w:r w:rsidR="00EB2A50" w:rsidRPr="009D3E34">
        <w:t>Nevertheless, accounting</w:t>
      </w:r>
      <w:r w:rsidR="00BB416F" w:rsidRPr="009D3E34">
        <w:t xml:space="preserve"> literature highlights the limits of consensus </w:t>
      </w:r>
      <w:r w:rsidR="00EB2A50" w:rsidRPr="009D3E34">
        <w:t xml:space="preserve">in </w:t>
      </w:r>
      <w:r w:rsidR="00BB416F" w:rsidRPr="009D3E34">
        <w:t>depoliticis</w:t>
      </w:r>
      <w:r w:rsidR="000962C7" w:rsidRPr="009D3E34">
        <w:t>ing</w:t>
      </w:r>
      <w:r w:rsidR="00BB416F" w:rsidRPr="009D3E34">
        <w:t xml:space="preserve"> the political and naturalis</w:t>
      </w:r>
      <w:r w:rsidR="000962C7" w:rsidRPr="009D3E34">
        <w:t>ing</w:t>
      </w:r>
      <w:r w:rsidR="00BB416F" w:rsidRPr="009D3E34">
        <w:t xml:space="preserve"> the prevailing order (</w:t>
      </w:r>
      <w:proofErr w:type="spellStart"/>
      <w:r w:rsidR="00BB416F" w:rsidRPr="009D3E34">
        <w:t>Farjauden</w:t>
      </w:r>
      <w:proofErr w:type="spellEnd"/>
      <w:r w:rsidR="00BB416F" w:rsidRPr="009D3E34">
        <w:t xml:space="preserve"> &amp; Morales, 2013; </w:t>
      </w:r>
      <w:proofErr w:type="spellStart"/>
      <w:r w:rsidR="00BB416F" w:rsidRPr="009D3E34">
        <w:t>Vinnari</w:t>
      </w:r>
      <w:proofErr w:type="spellEnd"/>
      <w:r w:rsidR="00BB416F" w:rsidRPr="009D3E34">
        <w:t xml:space="preserve"> &amp; Dillard, 2016; Brown &amp; Tregidga, 2017). </w:t>
      </w:r>
      <w:r w:rsidR="005F5482" w:rsidRPr="009D3E34">
        <w:t xml:space="preserve">Idealistically, collaborative initiatives can enable agonistic discourse that can generate new standards as divisions and conflicts are addressed (Brown, 2009; </w:t>
      </w:r>
      <w:proofErr w:type="spellStart"/>
      <w:r w:rsidR="005F5482" w:rsidRPr="009D3E34">
        <w:t>Vinnari</w:t>
      </w:r>
      <w:proofErr w:type="spellEnd"/>
      <w:r w:rsidR="005F5482" w:rsidRPr="009D3E34">
        <w:t xml:space="preserve"> &amp; Dillard, 2016; Morrison et al., 2019). More pessimistically, the control of such initiatives can be used to manufacture consent (Merino et al., 2010) where differences in resources, power and representation can lead to inequalities of influence on standard formation. Contextual factors, asymmetric power relationships and the dominant hegemonic order will frame due process and decide who has a voice and who is excluded (Carter et al., 2011; </w:t>
      </w:r>
      <w:proofErr w:type="spellStart"/>
      <w:r w:rsidR="005F5482" w:rsidRPr="009D3E34">
        <w:t>Vinnari</w:t>
      </w:r>
      <w:proofErr w:type="spellEnd"/>
      <w:r w:rsidR="005F5482" w:rsidRPr="009D3E34">
        <w:t xml:space="preserve"> &amp; Dillard, 2016; Morrison et al., 2019).</w:t>
      </w:r>
    </w:p>
    <w:p w14:paraId="54443A6E" w14:textId="74DE19D2" w:rsidR="00186B58" w:rsidRPr="009D3E34" w:rsidRDefault="00BB416F" w:rsidP="00C14CA0">
      <w:pPr>
        <w:pStyle w:val="nikoneindenttext15"/>
      </w:pPr>
      <w:r w:rsidRPr="009D3E34">
        <w:t xml:space="preserve">The discourse of consensus can conceal the interests of dominant actors, and generally represents a compromise where certain groups impose their interests on others. More specifically, consensus-based approaches </w:t>
      </w:r>
      <w:r w:rsidR="00BA2CB2" w:rsidRPr="009D3E34">
        <w:t xml:space="preserve">can </w:t>
      </w:r>
      <w:r w:rsidRPr="009D3E34">
        <w:t xml:space="preserve">lead to a political economy dominated by ‘post-politics’ where consensual frames eliminate genuine political space for disagreement </w:t>
      </w:r>
      <w:r w:rsidR="00D819DD" w:rsidRPr="009D3E34">
        <w:t>(Brown &amp; Tregidga, 2017)</w:t>
      </w:r>
      <w:r w:rsidRPr="009D3E34">
        <w:t xml:space="preserve">. </w:t>
      </w:r>
      <w:r w:rsidR="00BA2CB2" w:rsidRPr="009D3E34">
        <w:t xml:space="preserve">Drawing on </w:t>
      </w:r>
      <w:proofErr w:type="spellStart"/>
      <w:r w:rsidR="00BA2CB2" w:rsidRPr="009D3E34">
        <w:t>Ranci</w:t>
      </w:r>
      <w:r w:rsidR="00235606" w:rsidRPr="009D3E34">
        <w:t>è</w:t>
      </w:r>
      <w:r w:rsidR="00BA2CB2" w:rsidRPr="009D3E34">
        <w:t>re</w:t>
      </w:r>
      <w:proofErr w:type="spellEnd"/>
      <w:r w:rsidR="00BA2CB2" w:rsidRPr="009D3E34">
        <w:t xml:space="preserve">, Brown &amp; Tregidga (2017) argue </w:t>
      </w:r>
      <w:r w:rsidR="005B2574" w:rsidRPr="009D3E34">
        <w:t>that c</w:t>
      </w:r>
      <w:r w:rsidRPr="009D3E34">
        <w:t>onsensus</w:t>
      </w:r>
      <w:r w:rsidR="005B2574" w:rsidRPr="009D3E34">
        <w:t xml:space="preserve">-based approaches assume away the existence of </w:t>
      </w:r>
      <w:r w:rsidRPr="009D3E34">
        <w:t xml:space="preserve">dissenters </w:t>
      </w:r>
      <w:r w:rsidR="005B2574" w:rsidRPr="009D3E34">
        <w:t xml:space="preserve">given </w:t>
      </w:r>
      <w:r w:rsidRPr="009D3E34">
        <w:t>everyone is included in consensus building</w:t>
      </w:r>
      <w:r w:rsidR="005B2574" w:rsidRPr="009D3E34">
        <w:t xml:space="preserve"> – those who don’t join in (by conveying their arguments in terms of the dominant consensus) are </w:t>
      </w:r>
      <w:r w:rsidRPr="009D3E34">
        <w:t xml:space="preserve">marginalised or ignored. </w:t>
      </w:r>
      <w:r w:rsidR="005B2574" w:rsidRPr="009D3E34">
        <w:t>Dominant groups set the rules of the game where consensual outcomes are based on power and closure is a political decision (</w:t>
      </w:r>
      <w:proofErr w:type="spellStart"/>
      <w:r w:rsidR="005B2574" w:rsidRPr="009D3E34">
        <w:t>Farjauden</w:t>
      </w:r>
      <w:proofErr w:type="spellEnd"/>
      <w:r w:rsidR="005B2574" w:rsidRPr="009D3E34">
        <w:t xml:space="preserve"> &amp; Morales, 2013; </w:t>
      </w:r>
      <w:proofErr w:type="spellStart"/>
      <w:r w:rsidR="005B2574" w:rsidRPr="009D3E34">
        <w:t>Vinnari</w:t>
      </w:r>
      <w:proofErr w:type="spellEnd"/>
      <w:r w:rsidR="005B2574" w:rsidRPr="009D3E34">
        <w:t xml:space="preserve"> &amp; Dillard, 2016). W</w:t>
      </w:r>
      <w:r w:rsidRPr="009D3E34">
        <w:t xml:space="preserve">here politics and conflict are suppressed, power relations remain unchallenged. </w:t>
      </w:r>
      <w:r w:rsidR="002A7029" w:rsidRPr="009D3E34">
        <w:t xml:space="preserve">As a result, Brown &amp; Tregidga (2017:14) recommend exploring </w:t>
      </w:r>
      <w:r w:rsidRPr="009D3E34">
        <w:t>“the processes through which consensus is constructed or contested?”</w:t>
      </w:r>
      <w:r w:rsidR="002A7029" w:rsidRPr="009D3E34">
        <w:t>.</w:t>
      </w:r>
    </w:p>
    <w:p w14:paraId="31438A53" w14:textId="5B6EEF8E" w:rsidR="00186B58" w:rsidRPr="009D3E34" w:rsidRDefault="000962C7" w:rsidP="00C14CA0">
      <w:pPr>
        <w:pStyle w:val="nikoneindenttext15"/>
      </w:pPr>
      <w:r w:rsidRPr="009D3E34">
        <w:lastRenderedPageBreak/>
        <w:t xml:space="preserve">The paper therefore seeks to explore how </w:t>
      </w:r>
      <w:r w:rsidR="00F91E16" w:rsidRPr="009D3E34">
        <w:t>consensus-building and the power relations supporting it operate within</w:t>
      </w:r>
      <w:r w:rsidR="00D819DD" w:rsidRPr="009D3E34">
        <w:t xml:space="preserve"> sustainability reporting</w:t>
      </w:r>
      <w:r w:rsidR="00F91E16" w:rsidRPr="009D3E34">
        <w:t xml:space="preserve">. </w:t>
      </w:r>
      <w:r w:rsidR="00943B09" w:rsidRPr="009D3E34">
        <w:t xml:space="preserve">As Fleming &amp; Spicer (2014:284) note, a focus on collective action can “help us to appreciate the way groups seek to gain power ‘through’ organisations” where </w:t>
      </w:r>
      <w:r w:rsidR="00E90A99" w:rsidRPr="009D3E34">
        <w:t xml:space="preserve">covert </w:t>
      </w:r>
      <w:r w:rsidR="00046D67" w:rsidRPr="009D3E34">
        <w:t xml:space="preserve">2-D power often relies on the use of mediating bodies </w:t>
      </w:r>
      <w:r w:rsidR="0057131D" w:rsidRPr="009D3E34">
        <w:t xml:space="preserve">that </w:t>
      </w:r>
      <w:r w:rsidR="00046D67" w:rsidRPr="009D3E34">
        <w:t>can heighten the appearance of democratic deliberation and</w:t>
      </w:r>
      <w:r w:rsidR="0057131D" w:rsidRPr="009D3E34">
        <w:t xml:space="preserve"> </w:t>
      </w:r>
      <w:r w:rsidR="00046D67" w:rsidRPr="009D3E34">
        <w:t xml:space="preserve">the legitimacy of standardising activity. </w:t>
      </w:r>
      <w:r w:rsidR="003C3337" w:rsidRPr="009D3E34">
        <w:t>Following this line of reasoning, t</w:t>
      </w:r>
      <w:r w:rsidR="00F91E16" w:rsidRPr="009D3E34">
        <w:t xml:space="preserve">he </w:t>
      </w:r>
      <w:r w:rsidRPr="009D3E34">
        <w:t xml:space="preserve">paper </w:t>
      </w:r>
      <w:r w:rsidR="0025696F" w:rsidRPr="009D3E34">
        <w:t>continues by</w:t>
      </w:r>
      <w:r w:rsidR="0057131D" w:rsidRPr="009D3E34">
        <w:t xml:space="preserve"> </w:t>
      </w:r>
      <w:r w:rsidR="00F9792D" w:rsidRPr="009D3E34">
        <w:t>examin</w:t>
      </w:r>
      <w:r w:rsidR="0025696F" w:rsidRPr="009D3E34">
        <w:t>ing</w:t>
      </w:r>
      <w:r w:rsidR="00F9792D" w:rsidRPr="009D3E34">
        <w:t xml:space="preserve"> </w:t>
      </w:r>
      <w:r w:rsidR="0057131D" w:rsidRPr="009D3E34">
        <w:t xml:space="preserve">specific </w:t>
      </w:r>
      <w:r w:rsidR="009334E9" w:rsidRPr="009D3E34">
        <w:t>mechanisms</w:t>
      </w:r>
      <w:r w:rsidR="00781D7F" w:rsidRPr="009D3E34">
        <w:t xml:space="preserve">, </w:t>
      </w:r>
      <w:proofErr w:type="gramStart"/>
      <w:r w:rsidR="00781D7F" w:rsidRPr="009D3E34">
        <w:t>orchestration</w:t>
      </w:r>
      <w:proofErr w:type="gramEnd"/>
      <w:r w:rsidR="00781D7F" w:rsidRPr="009D3E34">
        <w:t xml:space="preserve"> and membership choices,</w:t>
      </w:r>
      <w:r w:rsidR="009334E9" w:rsidRPr="009D3E34">
        <w:t xml:space="preserve"> </w:t>
      </w:r>
      <w:r w:rsidR="00F933B0" w:rsidRPr="009D3E34">
        <w:t>through which</w:t>
      </w:r>
      <w:r w:rsidR="009334E9" w:rsidRPr="009D3E34">
        <w:t xml:space="preserve"> </w:t>
      </w:r>
      <w:r w:rsidR="00E90A99" w:rsidRPr="009D3E34">
        <w:t xml:space="preserve">more </w:t>
      </w:r>
      <w:r w:rsidR="00F91E16" w:rsidRPr="009D3E34">
        <w:t xml:space="preserve">covert </w:t>
      </w:r>
      <w:r w:rsidR="00E90A99" w:rsidRPr="009D3E34">
        <w:t xml:space="preserve">dimensions of </w:t>
      </w:r>
      <w:r w:rsidR="009334E9" w:rsidRPr="009D3E34">
        <w:t xml:space="preserve">power </w:t>
      </w:r>
      <w:r w:rsidR="00781D7F" w:rsidRPr="009D3E34">
        <w:t>are exercised</w:t>
      </w:r>
      <w:r w:rsidR="00F933B0" w:rsidRPr="009D3E34">
        <w:t xml:space="preserve"> </w:t>
      </w:r>
      <w:r w:rsidR="00D226A2" w:rsidRPr="009D3E34">
        <w:t>with</w:t>
      </w:r>
      <w:r w:rsidR="00F91E16" w:rsidRPr="009D3E34">
        <w:t>in</w:t>
      </w:r>
      <w:r w:rsidR="00D226A2" w:rsidRPr="009D3E34">
        <w:t xml:space="preserve"> </w:t>
      </w:r>
      <w:r w:rsidR="00D819DD" w:rsidRPr="009D3E34">
        <w:t>collaborative standardising initiatives</w:t>
      </w:r>
      <w:r w:rsidR="00D226A2" w:rsidRPr="009D3E34">
        <w:t>.</w:t>
      </w:r>
    </w:p>
    <w:p w14:paraId="32E85CAD" w14:textId="77777777" w:rsidR="00781D7F" w:rsidRPr="009D3E34" w:rsidRDefault="00781D7F" w:rsidP="00C14CA0">
      <w:pPr>
        <w:pStyle w:val="nikoneindenttext15"/>
      </w:pPr>
    </w:p>
    <w:p w14:paraId="71D8F6C1" w14:textId="73752C87" w:rsidR="002568D8" w:rsidRPr="009D3E34" w:rsidRDefault="005216B2" w:rsidP="00C14CA0">
      <w:pPr>
        <w:pStyle w:val="nikoneindenttext15"/>
      </w:pPr>
      <w:r w:rsidRPr="009D3E34">
        <w:t xml:space="preserve">Orchestration is generally conceptualised as a strategy of indirect governance undertaken through intermediaries using soft modes of influence to facilitate, guide, support and endorse (Abbott et al., 2015; Abbott &amp; Bernstein, 2015; </w:t>
      </w:r>
      <w:proofErr w:type="spellStart"/>
      <w:r w:rsidRPr="009D3E34">
        <w:t>Backstrand</w:t>
      </w:r>
      <w:proofErr w:type="spellEnd"/>
      <w:r w:rsidRPr="009D3E34">
        <w:t xml:space="preserve"> &amp; Kuyper, 2017; Abbott, 2017; Abbott, 2018; </w:t>
      </w:r>
      <w:proofErr w:type="spellStart"/>
      <w:r w:rsidRPr="009D3E34">
        <w:t>Eberlein</w:t>
      </w:r>
      <w:proofErr w:type="spellEnd"/>
      <w:r w:rsidRPr="009D3E34">
        <w:t>, 2019).</w:t>
      </w:r>
      <w:r w:rsidR="00F0312A" w:rsidRPr="009D3E34">
        <w:t xml:space="preserve"> Within sustainable development governance, orchestration is widely used </w:t>
      </w:r>
      <w:r w:rsidR="00576A92" w:rsidRPr="009D3E34">
        <w:t xml:space="preserve">by </w:t>
      </w:r>
      <w:r w:rsidR="00AC57FB" w:rsidRPr="009D3E34">
        <w:t>supra</w:t>
      </w:r>
      <w:r w:rsidR="00F0312A" w:rsidRPr="009D3E34">
        <w:t xml:space="preserve">national bodies such as the UN, the G7 and G20, </w:t>
      </w:r>
      <w:r w:rsidR="00781D7F" w:rsidRPr="009D3E34">
        <w:t xml:space="preserve">alongside </w:t>
      </w:r>
      <w:r w:rsidR="00F0312A" w:rsidRPr="009D3E34">
        <w:t>NGOs</w:t>
      </w:r>
      <w:r w:rsidR="00781D7F" w:rsidRPr="009D3E34">
        <w:t>,</w:t>
      </w:r>
      <w:r w:rsidR="00F0312A" w:rsidRPr="009D3E34">
        <w:t xml:space="preserve"> private </w:t>
      </w:r>
      <w:proofErr w:type="gramStart"/>
      <w:r w:rsidR="00F0312A" w:rsidRPr="009D3E34">
        <w:t>organisations</w:t>
      </w:r>
      <w:proofErr w:type="gramEnd"/>
      <w:r w:rsidR="00576A92" w:rsidRPr="009D3E34">
        <w:t xml:space="preserve"> </w:t>
      </w:r>
      <w:r w:rsidR="00781D7F" w:rsidRPr="009D3E34">
        <w:t xml:space="preserve">and philanthropic foundations </w:t>
      </w:r>
      <w:r w:rsidR="00126EF6" w:rsidRPr="009D3E34">
        <w:t>(</w:t>
      </w:r>
      <w:r w:rsidR="00F0312A" w:rsidRPr="009D3E34">
        <w:t xml:space="preserve">Abbott &amp; Bernstein, 2015; Abbott, 2017; Gordon &amp; Johnson, 2017; </w:t>
      </w:r>
      <w:proofErr w:type="spellStart"/>
      <w:r w:rsidR="00F0312A" w:rsidRPr="009D3E34">
        <w:t>Backstrand</w:t>
      </w:r>
      <w:proofErr w:type="spellEnd"/>
      <w:r w:rsidR="00F0312A" w:rsidRPr="009D3E34">
        <w:t xml:space="preserve"> &amp; Kuyper, 2017; </w:t>
      </w:r>
      <w:proofErr w:type="spellStart"/>
      <w:r w:rsidR="00FA149F" w:rsidRPr="009D3E34">
        <w:t>McGoey</w:t>
      </w:r>
      <w:proofErr w:type="spellEnd"/>
      <w:r w:rsidR="00FA149F" w:rsidRPr="009D3E34">
        <w:t xml:space="preserve"> et al., 2018; </w:t>
      </w:r>
      <w:proofErr w:type="spellStart"/>
      <w:r w:rsidR="00F0312A" w:rsidRPr="009D3E34">
        <w:t>Kourala</w:t>
      </w:r>
      <w:proofErr w:type="spellEnd"/>
      <w:r w:rsidR="00F0312A" w:rsidRPr="009D3E34">
        <w:t xml:space="preserve"> et al., 2019).</w:t>
      </w:r>
    </w:p>
    <w:p w14:paraId="3F46EF94" w14:textId="352A1EAE" w:rsidR="002568D8" w:rsidRPr="009D3E34" w:rsidRDefault="00FA149F" w:rsidP="00C14CA0">
      <w:pPr>
        <w:pStyle w:val="nikoneindenttext15"/>
      </w:pPr>
      <w:r w:rsidRPr="009D3E34">
        <w:t>Whilst o</w:t>
      </w:r>
      <w:r w:rsidR="00F0312A" w:rsidRPr="009D3E34">
        <w:t xml:space="preserve">rchestrators can promote “common normative understandings and policies” </w:t>
      </w:r>
      <w:proofErr w:type="gramStart"/>
      <w:r w:rsidR="00F0312A" w:rsidRPr="009D3E34">
        <w:t>in order to</w:t>
      </w:r>
      <w:proofErr w:type="gramEnd"/>
      <w:r w:rsidR="00F0312A" w:rsidRPr="009D3E34">
        <w:t xml:space="preserve"> “resolve inter-institutional impasses” (Abbott &amp; Bernstein, 2015:229)</w:t>
      </w:r>
      <w:r w:rsidRPr="009D3E34">
        <w:t>,</w:t>
      </w:r>
      <w:r w:rsidR="00F0312A" w:rsidRPr="009D3E34">
        <w:t xml:space="preserve"> “</w:t>
      </w:r>
      <w:r w:rsidRPr="009D3E34">
        <w:t>w</w:t>
      </w:r>
      <w:r w:rsidR="00F0312A" w:rsidRPr="009D3E34">
        <w:t>ithout orchestration, competition between various platforms and hence confusion for firms, would persist” (</w:t>
      </w:r>
      <w:proofErr w:type="spellStart"/>
      <w:r w:rsidR="00F0312A" w:rsidRPr="009D3E34">
        <w:t>Eberlein</w:t>
      </w:r>
      <w:proofErr w:type="spellEnd"/>
      <w:r w:rsidR="00F0312A" w:rsidRPr="009D3E34">
        <w:t>, 2019:1136).</w:t>
      </w:r>
      <w:r w:rsidR="00A147F5" w:rsidRPr="009D3E34">
        <w:t xml:space="preserve"> </w:t>
      </w:r>
      <w:r w:rsidR="005216B2" w:rsidRPr="009D3E34">
        <w:t xml:space="preserve">Orchestrators use their ‘convening’ </w:t>
      </w:r>
      <w:r w:rsidR="005B5BD1" w:rsidRPr="009D3E34">
        <w:t>power</w:t>
      </w:r>
      <w:r w:rsidR="005216B2" w:rsidRPr="009D3E34">
        <w:t xml:space="preserve"> to enlist existing intermediaries or catalyse the formation of new ones that become ‘focal point’ institutions around which standards converge (Abbott et al., 2015:14; Gordon &amp; Johnson, 2017; Abbott, 2018). The orchestrator is characterised as having no direct control over intermediaries and must use legitimacy, persuasion, reputational and material incentives to enlist their cooperation and steer activity (Abbott et al., 2015). Yet, convening, persuasion and endorsement are more influential where the orchestrator possesses significant validity and authority from its ability to mobilise resources, and from its position, achievements, </w:t>
      </w:r>
      <w:proofErr w:type="gramStart"/>
      <w:r w:rsidR="005216B2" w:rsidRPr="009D3E34">
        <w:t>expertise</w:t>
      </w:r>
      <w:proofErr w:type="gramEnd"/>
      <w:r w:rsidR="005216B2" w:rsidRPr="009D3E34">
        <w:t xml:space="preserve"> and moral reputation (Abbott, 2018).</w:t>
      </w:r>
    </w:p>
    <w:p w14:paraId="0ABE7A54" w14:textId="21962B61" w:rsidR="00171E3C" w:rsidRPr="009D3E34" w:rsidRDefault="00EF5278" w:rsidP="0024667E">
      <w:pPr>
        <w:pStyle w:val="nikoneindenttext15"/>
      </w:pPr>
      <w:r w:rsidRPr="009D3E34">
        <w:t xml:space="preserve">Orchestration </w:t>
      </w:r>
      <w:r w:rsidR="00A147F5" w:rsidRPr="009D3E34">
        <w:t xml:space="preserve">therefore </w:t>
      </w:r>
      <w:r w:rsidRPr="009D3E34">
        <w:t xml:space="preserve">offers a means to distribute power through funding, representation, </w:t>
      </w:r>
      <w:proofErr w:type="gramStart"/>
      <w:r w:rsidRPr="009D3E34">
        <w:t>support</w:t>
      </w:r>
      <w:proofErr w:type="gramEnd"/>
      <w:r w:rsidRPr="009D3E34">
        <w:t xml:space="preserve"> and endorsement. The convening power of orchestration (Gross &amp; </w:t>
      </w:r>
      <w:proofErr w:type="spellStart"/>
      <w:r w:rsidRPr="009D3E34">
        <w:t>Zilber</w:t>
      </w:r>
      <w:proofErr w:type="spellEnd"/>
      <w:r w:rsidRPr="009D3E34">
        <w:t xml:space="preserve">, 2020) enables orchestrators to direct the ways in which issues are ideologically constructed and </w:t>
      </w:r>
      <w:r w:rsidRPr="009D3E34">
        <w:lastRenderedPageBreak/>
        <w:t xml:space="preserve">influence how agendas are built. </w:t>
      </w:r>
      <w:r w:rsidR="00353F25" w:rsidRPr="009D3E34">
        <w:t xml:space="preserve">Within standardisation, </w:t>
      </w:r>
      <w:r w:rsidR="00F0312A" w:rsidRPr="009D3E34">
        <w:t xml:space="preserve">orchestrators </w:t>
      </w:r>
      <w:r w:rsidR="009C3667" w:rsidRPr="009D3E34">
        <w:t xml:space="preserve">can </w:t>
      </w:r>
      <w:r w:rsidR="00353F25" w:rsidRPr="009D3E34">
        <w:t>decide</w:t>
      </w:r>
      <w:r w:rsidR="00F0312A" w:rsidRPr="009D3E34">
        <w:t xml:space="preserve"> </w:t>
      </w:r>
      <w:r w:rsidR="00353F25" w:rsidRPr="009D3E34">
        <w:t xml:space="preserve">‘what is on the table’ and influence </w:t>
      </w:r>
      <w:r w:rsidR="00F0312A" w:rsidRPr="009D3E34">
        <w:t xml:space="preserve">the agenda </w:t>
      </w:r>
      <w:r w:rsidR="00353F25" w:rsidRPr="009D3E34">
        <w:t>of standardising activity. Furthermore, orchestrators can decide who is invited to the table.</w:t>
      </w:r>
      <w:r w:rsidR="008E2356" w:rsidRPr="009D3E34">
        <w:t xml:space="preserve"> </w:t>
      </w:r>
      <w:r w:rsidR="00FA149F" w:rsidRPr="009D3E34">
        <w:t xml:space="preserve">Within collaborative initiatives, </w:t>
      </w:r>
      <w:r w:rsidR="00A64BB2" w:rsidRPr="009D3E34">
        <w:t>such</w:t>
      </w:r>
      <w:r w:rsidR="00FA149F" w:rsidRPr="009D3E34">
        <w:t xml:space="preserve"> membership choices concerning who is invited and who joins are </w:t>
      </w:r>
      <w:r w:rsidR="008E2356" w:rsidRPr="009D3E34">
        <w:t xml:space="preserve">theorised within conceptions of </w:t>
      </w:r>
      <w:r w:rsidR="00591F4D" w:rsidRPr="009D3E34">
        <w:t>‘</w:t>
      </w:r>
      <w:r w:rsidR="008E2356" w:rsidRPr="009D3E34">
        <w:t>meta-organis</w:t>
      </w:r>
      <w:r w:rsidR="00171E3C" w:rsidRPr="009D3E34">
        <w:t>ation</w:t>
      </w:r>
      <w:r w:rsidR="00591F4D" w:rsidRPr="009D3E34">
        <w:t>’</w:t>
      </w:r>
      <w:r w:rsidR="00171E3C" w:rsidRPr="009D3E34">
        <w:t xml:space="preserve"> that depict the distinct organising characteristics of organisations whose members are other organisations rather than individuals (</w:t>
      </w:r>
      <w:proofErr w:type="spellStart"/>
      <w:r w:rsidR="00171E3C" w:rsidRPr="009D3E34">
        <w:t>Ahrne</w:t>
      </w:r>
      <w:proofErr w:type="spellEnd"/>
      <w:r w:rsidR="00171E3C" w:rsidRPr="009D3E34">
        <w:t xml:space="preserve"> &amp; </w:t>
      </w:r>
      <w:proofErr w:type="spellStart"/>
      <w:r w:rsidR="00171E3C" w:rsidRPr="009D3E34">
        <w:t>Brunsson</w:t>
      </w:r>
      <w:proofErr w:type="spellEnd"/>
      <w:r w:rsidR="00171E3C" w:rsidRPr="009D3E34">
        <w:t>, 2005; 2008).</w:t>
      </w:r>
    </w:p>
    <w:p w14:paraId="23592201" w14:textId="39FE7146" w:rsidR="001259E3" w:rsidRPr="009D3E34" w:rsidRDefault="00171E3C" w:rsidP="001259E3">
      <w:pPr>
        <w:pStyle w:val="nikoneindenttext15"/>
      </w:pPr>
      <w:r w:rsidRPr="009D3E34">
        <w:t xml:space="preserve">The decision to join </w:t>
      </w:r>
      <w:r w:rsidR="001259E3" w:rsidRPr="009D3E34">
        <w:t xml:space="preserve">a collaborative standardising initiative </w:t>
      </w:r>
      <w:r w:rsidRPr="009D3E34">
        <w:t xml:space="preserve">depends on the contribution that members are expected to make – expected contributions are often initially </w:t>
      </w:r>
      <w:proofErr w:type="gramStart"/>
      <w:r w:rsidRPr="009D3E34">
        <w:t>limited</w:t>
      </w:r>
      <w:proofErr w:type="gramEnd"/>
      <w:r w:rsidRPr="009D3E34">
        <w:t xml:space="preserve"> and members have the means to influence the costs and benefits of membership (</w:t>
      </w:r>
      <w:proofErr w:type="spellStart"/>
      <w:r w:rsidRPr="009D3E34">
        <w:t>Ahrne</w:t>
      </w:r>
      <w:proofErr w:type="spellEnd"/>
      <w:r w:rsidRPr="009D3E34">
        <w:t xml:space="preserve"> &amp; </w:t>
      </w:r>
      <w:proofErr w:type="spellStart"/>
      <w:r w:rsidRPr="009D3E34">
        <w:t>Brunsson</w:t>
      </w:r>
      <w:proofErr w:type="spellEnd"/>
      <w:r w:rsidRPr="009D3E34">
        <w:t>, 2005). Given their low ‘joining fee’ and opportunity for exerting influence, membership is often more attractive than non-membership.</w:t>
      </w:r>
      <w:r w:rsidR="001259E3" w:rsidRPr="009D3E34">
        <w:t xml:space="preserve"> Whilst the membership structure is linked to the rationale behind the establishment of the initiative, “attracting the right categories of members, and recruiting and keeping the strongest ones, are crucial strategic issues” (Berkowitz &amp; Dumez, 2016:151). It is therefore important to recruit specific </w:t>
      </w:r>
      <w:r w:rsidR="006D4F13" w:rsidRPr="009D3E34">
        <w:t>standardisers</w:t>
      </w:r>
      <w:r w:rsidR="001259E3" w:rsidRPr="009D3E34">
        <w:t xml:space="preserve"> - “the fact that some organizations are members attracts other organizations to join” (</w:t>
      </w:r>
      <w:proofErr w:type="spellStart"/>
      <w:r w:rsidR="001259E3" w:rsidRPr="009D3E34">
        <w:t>Ahrne</w:t>
      </w:r>
      <w:proofErr w:type="spellEnd"/>
      <w:r w:rsidR="001259E3" w:rsidRPr="009D3E34">
        <w:t xml:space="preserve"> &amp; </w:t>
      </w:r>
      <w:proofErr w:type="spellStart"/>
      <w:r w:rsidR="001259E3" w:rsidRPr="009D3E34">
        <w:t>Brunsson</w:t>
      </w:r>
      <w:proofErr w:type="spellEnd"/>
      <w:r w:rsidR="001259E3" w:rsidRPr="009D3E34">
        <w:t>, 2005:437). Therefore, membership becomes political as orchestrators can influence the voices and interests that are represented (</w:t>
      </w:r>
      <w:proofErr w:type="spellStart"/>
      <w:r w:rsidR="001259E3" w:rsidRPr="009D3E34">
        <w:t>Fransen</w:t>
      </w:r>
      <w:proofErr w:type="spellEnd"/>
      <w:r w:rsidR="001259E3" w:rsidRPr="009D3E34">
        <w:t xml:space="preserve"> &amp; Kolk, 2007)</w:t>
      </w:r>
    </w:p>
    <w:p w14:paraId="4C788678" w14:textId="17CF9DD9" w:rsidR="001259E3" w:rsidRPr="009D3E34" w:rsidRDefault="006D4F13" w:rsidP="00171E3C">
      <w:pPr>
        <w:pStyle w:val="nikoneindenttext15"/>
      </w:pPr>
      <w:r w:rsidRPr="009D3E34">
        <w:t>For members, participation is influenced by whether organisations can achieve things on their own</w:t>
      </w:r>
      <w:r w:rsidR="00231AC6" w:rsidRPr="009D3E34">
        <w:t xml:space="preserve"> (</w:t>
      </w:r>
      <w:proofErr w:type="spellStart"/>
      <w:r w:rsidR="00231AC6" w:rsidRPr="009D3E34">
        <w:t>Ahrne</w:t>
      </w:r>
      <w:proofErr w:type="spellEnd"/>
      <w:r w:rsidR="00231AC6" w:rsidRPr="009D3E34">
        <w:t xml:space="preserve"> &amp; </w:t>
      </w:r>
      <w:proofErr w:type="spellStart"/>
      <w:r w:rsidR="00231AC6" w:rsidRPr="009D3E34">
        <w:t>Brunsson</w:t>
      </w:r>
      <w:proofErr w:type="spellEnd"/>
      <w:r w:rsidR="00231AC6" w:rsidRPr="009D3E34">
        <w:t>, 2005)</w:t>
      </w:r>
      <w:r w:rsidRPr="009D3E34">
        <w:t xml:space="preserve">. Therefore, weaker standardisers have more to gain from membership than stronger </w:t>
      </w:r>
      <w:r w:rsidR="00231AC6" w:rsidRPr="009D3E34">
        <w:t>standardisers</w:t>
      </w:r>
      <w:r w:rsidRPr="009D3E34">
        <w:t>. Furthermore, organi</w:t>
      </w:r>
      <w:r w:rsidR="00231AC6" w:rsidRPr="009D3E34">
        <w:t>s</w:t>
      </w:r>
      <w:r w:rsidRPr="009D3E34">
        <w:t xml:space="preserve">ations may decide to join </w:t>
      </w:r>
      <w:r w:rsidR="00231AC6" w:rsidRPr="009D3E34">
        <w:t>“</w:t>
      </w:r>
      <w:r w:rsidRPr="009D3E34">
        <w:t xml:space="preserve">as a precaution and because they do not want to be left out” </w:t>
      </w:r>
      <w:r w:rsidR="00F933B0" w:rsidRPr="009D3E34">
        <w:t xml:space="preserve">and </w:t>
      </w:r>
      <w:r w:rsidRPr="009D3E34">
        <w:t>“</w:t>
      </w:r>
      <w:r w:rsidR="00F933B0" w:rsidRPr="009D3E34">
        <w:t>s</w:t>
      </w:r>
      <w:r w:rsidRPr="009D3E34">
        <w:t xml:space="preserve">ome may even join </w:t>
      </w:r>
      <w:proofErr w:type="gramStart"/>
      <w:r w:rsidRPr="009D3E34">
        <w:t>so as to</w:t>
      </w:r>
      <w:proofErr w:type="gramEnd"/>
      <w:r w:rsidRPr="009D3E34">
        <w:t xml:space="preserve"> be able to stop certain activities” (</w:t>
      </w:r>
      <w:proofErr w:type="spellStart"/>
      <w:r w:rsidRPr="009D3E34">
        <w:t>Ahrne</w:t>
      </w:r>
      <w:proofErr w:type="spellEnd"/>
      <w:r w:rsidRPr="009D3E34">
        <w:t xml:space="preserve"> &amp; </w:t>
      </w:r>
      <w:proofErr w:type="spellStart"/>
      <w:r w:rsidRPr="009D3E34">
        <w:t>Brunsson</w:t>
      </w:r>
      <w:proofErr w:type="spellEnd"/>
      <w:r w:rsidRPr="009D3E34">
        <w:t>, 2005:</w:t>
      </w:r>
      <w:r w:rsidR="002B14B4" w:rsidRPr="009D3E34">
        <w:t>434-</w:t>
      </w:r>
      <w:r w:rsidRPr="009D3E34">
        <w:t>435).</w:t>
      </w:r>
    </w:p>
    <w:p w14:paraId="5EA18D8D" w14:textId="4F95A4C8" w:rsidR="002C615F" w:rsidRPr="009D3E34" w:rsidRDefault="002C615F" w:rsidP="002C615F">
      <w:pPr>
        <w:pStyle w:val="nikoneindenttext15"/>
      </w:pPr>
      <w:r w:rsidRPr="009D3E34">
        <w:t xml:space="preserve">Conflicts </w:t>
      </w:r>
      <w:r w:rsidR="00231AC6" w:rsidRPr="009D3E34">
        <w:t>can be</w:t>
      </w:r>
      <w:r w:rsidRPr="009D3E34">
        <w:t xml:space="preserve"> profound given that the role of the </w:t>
      </w:r>
      <w:r w:rsidR="00231AC6" w:rsidRPr="009D3E34">
        <w:t>collaborative initiative</w:t>
      </w:r>
      <w:r w:rsidRPr="009D3E34">
        <w:t xml:space="preserve"> is often directly in competition with the aims of some members and tensions may arise over questions of identity, visibility</w:t>
      </w:r>
      <w:r w:rsidR="00A75202" w:rsidRPr="009D3E34">
        <w:t xml:space="preserve"> and </w:t>
      </w:r>
      <w:r w:rsidRPr="009D3E34">
        <w:t>who should do what. Given decisions are guided by persuasion and consensus, it is difficult to impose decisions, or to expel members (</w:t>
      </w:r>
      <w:proofErr w:type="spellStart"/>
      <w:r w:rsidRPr="009D3E34">
        <w:t>Ahrne</w:t>
      </w:r>
      <w:proofErr w:type="spellEnd"/>
      <w:r w:rsidRPr="009D3E34">
        <w:t xml:space="preserve"> &amp; </w:t>
      </w:r>
      <w:proofErr w:type="spellStart"/>
      <w:r w:rsidRPr="009D3E34">
        <w:t>Brunsson</w:t>
      </w:r>
      <w:proofErr w:type="spellEnd"/>
      <w:r w:rsidRPr="009D3E34">
        <w:t>, 2008). Members generally remain and there are few institutionalised rules for dismissal (</w:t>
      </w:r>
      <w:proofErr w:type="spellStart"/>
      <w:r w:rsidRPr="009D3E34">
        <w:t>Ahrne</w:t>
      </w:r>
      <w:proofErr w:type="spellEnd"/>
      <w:r w:rsidRPr="009D3E34">
        <w:t xml:space="preserve"> &amp; </w:t>
      </w:r>
      <w:proofErr w:type="spellStart"/>
      <w:r w:rsidRPr="009D3E34">
        <w:t>Brunsson</w:t>
      </w:r>
      <w:proofErr w:type="spellEnd"/>
      <w:r w:rsidRPr="009D3E34">
        <w:t>, 2005).</w:t>
      </w:r>
    </w:p>
    <w:p w14:paraId="2B034975" w14:textId="3AF82581" w:rsidR="00D4568A" w:rsidRPr="009D3E34" w:rsidRDefault="00D4568A" w:rsidP="00711A19">
      <w:pPr>
        <w:pStyle w:val="nikoneindenttext15"/>
      </w:pPr>
      <w:r w:rsidRPr="009D3E34">
        <w:t xml:space="preserve">Whilst orchestrators can direct who participates, ‘meta-organising’ theorises the nature of membership within collaborative initiatives. For example, stronger members are essential to the legitimacy of the collaborative initiative yet have less to gain from participation than weaker </w:t>
      </w:r>
      <w:r w:rsidRPr="009D3E34">
        <w:lastRenderedPageBreak/>
        <w:t xml:space="preserve">members. However, it is the presence of </w:t>
      </w:r>
      <w:r w:rsidR="002E133E" w:rsidRPr="009D3E34">
        <w:t>stronger</w:t>
      </w:r>
      <w:r w:rsidRPr="009D3E34">
        <w:t xml:space="preserve"> members rather than their active participation that offers legitimacy. </w:t>
      </w:r>
    </w:p>
    <w:p w14:paraId="6048F610" w14:textId="3ADF6359" w:rsidR="00711A19" w:rsidRPr="009D3E34" w:rsidRDefault="00D4568A" w:rsidP="00711A19">
      <w:pPr>
        <w:pStyle w:val="nikoneindenttext15"/>
      </w:pPr>
      <w:r w:rsidRPr="009D3E34">
        <w:t>Although</w:t>
      </w:r>
      <w:r w:rsidR="00851979" w:rsidRPr="009D3E34">
        <w:t xml:space="preserve"> legitimacy can be attached to the pronouncements of collaborative initiatives that are perceived to emerge from consensual debate, the role of the orchestrators and associated power relations may be obscured. Both orchestration and membership choices act as mechanisms through which </w:t>
      </w:r>
      <w:r w:rsidR="00D60D7F" w:rsidRPr="009D3E34">
        <w:t xml:space="preserve">covert </w:t>
      </w:r>
      <w:r w:rsidR="00851979" w:rsidRPr="009D3E34">
        <w:t>power can be exerted with</w:t>
      </w:r>
      <w:r w:rsidR="007C60BD" w:rsidRPr="009D3E34">
        <w:t>in</w:t>
      </w:r>
      <w:r w:rsidR="00851979" w:rsidRPr="009D3E34">
        <w:t xml:space="preserve"> collaborative standardising initiatives. This motivates a need to consider who orchestrates, in the service of whose objectives and “incorporate the more subtle forms of power that underlie seemingly benign efforts to coordinate actions and metrics” (Gordon &amp; Johnson, 2017:708). </w:t>
      </w:r>
    </w:p>
    <w:p w14:paraId="0FDC2D55" w14:textId="2263A569" w:rsidR="00DE7A76" w:rsidRPr="009D3E34" w:rsidRDefault="00DE7A76" w:rsidP="00DE7A76">
      <w:pPr>
        <w:pStyle w:val="nikoneindenttext15"/>
      </w:pPr>
      <w:r w:rsidRPr="009D3E34">
        <w:t xml:space="preserve">The paper therefore </w:t>
      </w:r>
      <w:r w:rsidR="00D60D7F" w:rsidRPr="009D3E34">
        <w:t>explores</w:t>
      </w:r>
      <w:r w:rsidRPr="009D3E34">
        <w:t xml:space="preserve"> the </w:t>
      </w:r>
      <w:r w:rsidR="007018B7" w:rsidRPr="009D3E34">
        <w:t xml:space="preserve">mechanisms through which </w:t>
      </w:r>
      <w:r w:rsidR="002E133E" w:rsidRPr="009D3E34">
        <w:t xml:space="preserve">covert power </w:t>
      </w:r>
      <w:r w:rsidR="007018B7" w:rsidRPr="009D3E34">
        <w:t>i</w:t>
      </w:r>
      <w:r w:rsidR="002E133E" w:rsidRPr="009D3E34">
        <w:t xml:space="preserve">s transmitted </w:t>
      </w:r>
      <w:r w:rsidR="007018B7" w:rsidRPr="009D3E34">
        <w:t>in collaborative initiatives</w:t>
      </w:r>
      <w:r w:rsidRPr="009D3E34">
        <w:t xml:space="preserve"> to pursue the research questions posed in section 1: a) </w:t>
      </w:r>
      <w:r w:rsidR="002E133E" w:rsidRPr="009D3E34">
        <w:t>What was the role of the Corporate Reporting Dialogue in the global standardisation of sustainability reporting? and b) Who influences participation in and the direction of Dialogue activity?</w:t>
      </w:r>
      <w:r w:rsidRPr="009D3E34">
        <w:t xml:space="preserve"> The paper examines the membership choices, influences and power relations obscured by orchestration and the technification of standard-</w:t>
      </w:r>
      <w:proofErr w:type="gramStart"/>
      <w:r w:rsidRPr="009D3E34">
        <w:t>setting, and</w:t>
      </w:r>
      <w:proofErr w:type="gramEnd"/>
      <w:r w:rsidRPr="009D3E34">
        <w:t xml:space="preserve"> reveals the dynamics influencing the orchestration of the Corporate Reporting Dialogue. In doing so, the study demonstrates how </w:t>
      </w:r>
      <w:r w:rsidR="002E133E" w:rsidRPr="009D3E34">
        <w:t xml:space="preserve">covert </w:t>
      </w:r>
      <w:r w:rsidRPr="009D3E34">
        <w:t xml:space="preserve">power </w:t>
      </w:r>
      <w:r w:rsidR="002E133E" w:rsidRPr="009D3E34">
        <w:t>operates with</w:t>
      </w:r>
      <w:r w:rsidR="00063A55" w:rsidRPr="009D3E34">
        <w:t>in</w:t>
      </w:r>
      <w:r w:rsidR="002E133E" w:rsidRPr="009D3E34">
        <w:t xml:space="preserve"> collaborative standardising initiatives </w:t>
      </w:r>
      <w:r w:rsidR="00C4330D" w:rsidRPr="009D3E34">
        <w:t xml:space="preserve">to </w:t>
      </w:r>
      <w:r w:rsidRPr="009D3E34">
        <w:t xml:space="preserve">help understand the process of sustainability reporting standardisation within the era of collaboration and consolidation, and the role of the Corporate Reporting Dialogue in particular. </w:t>
      </w:r>
      <w:r w:rsidR="009C3667" w:rsidRPr="009D3E34">
        <w:t>In the following section, the paper continues by detailing the methods used in this investigation.</w:t>
      </w:r>
    </w:p>
    <w:p w14:paraId="68B1D8D1" w14:textId="77777777" w:rsidR="00711A19" w:rsidRPr="009D3E34" w:rsidRDefault="00711A19" w:rsidP="00F0312A">
      <w:pPr>
        <w:pStyle w:val="nikoneindenttext15"/>
      </w:pPr>
    </w:p>
    <w:p w14:paraId="2F77E8F9" w14:textId="5A6B1527" w:rsidR="00AD64DF" w:rsidRPr="009D3E34" w:rsidRDefault="00D31D7E" w:rsidP="00E0093B">
      <w:pPr>
        <w:pStyle w:val="Heading1"/>
      </w:pPr>
      <w:r w:rsidRPr="009D3E34">
        <w:t xml:space="preserve">3. </w:t>
      </w:r>
      <w:r w:rsidR="00C052EF" w:rsidRPr="009D3E34">
        <w:t xml:space="preserve">Research </w:t>
      </w:r>
      <w:r w:rsidR="00F3404F" w:rsidRPr="009D3E34">
        <w:t>Methods</w:t>
      </w:r>
    </w:p>
    <w:p w14:paraId="1DDD150B" w14:textId="07095EE8" w:rsidR="002747DF" w:rsidRPr="009D3E34" w:rsidRDefault="001000D2" w:rsidP="0043403F">
      <w:pPr>
        <w:pStyle w:val="nikoneindenttext15"/>
      </w:pPr>
      <w:r w:rsidRPr="009D3E34">
        <w:t xml:space="preserve">To pursue </w:t>
      </w:r>
      <w:r w:rsidR="00662123" w:rsidRPr="009D3E34">
        <w:t xml:space="preserve">its </w:t>
      </w:r>
      <w:r w:rsidRPr="009D3E34">
        <w:t>aims</w:t>
      </w:r>
      <w:r w:rsidR="00662123" w:rsidRPr="009D3E34">
        <w:t xml:space="preserve">, the paper </w:t>
      </w:r>
      <w:r w:rsidR="001E7797" w:rsidRPr="009D3E34">
        <w:t xml:space="preserve">adopts an interpretive approach, </w:t>
      </w:r>
      <w:r w:rsidR="00662123" w:rsidRPr="009D3E34">
        <w:t>draws on a detailed,</w:t>
      </w:r>
      <w:r w:rsidR="00C052EF" w:rsidRPr="009D3E34">
        <w:t xml:space="preserve"> qualitative case study of the Corporate Reporting </w:t>
      </w:r>
      <w:proofErr w:type="gramStart"/>
      <w:r w:rsidR="00C052EF" w:rsidRPr="009D3E34">
        <w:t>Dialogue</w:t>
      </w:r>
      <w:proofErr w:type="gramEnd"/>
      <w:r w:rsidR="00C052EF" w:rsidRPr="009D3E34">
        <w:t xml:space="preserve"> and</w:t>
      </w:r>
      <w:r w:rsidR="0043403F" w:rsidRPr="009D3E34">
        <w:t xml:space="preserve"> build</w:t>
      </w:r>
      <w:r w:rsidR="00662123" w:rsidRPr="009D3E34">
        <w:t>s</w:t>
      </w:r>
      <w:r w:rsidR="0043403F" w:rsidRPr="009D3E34">
        <w:t xml:space="preserve"> a dataset constructed from </w:t>
      </w:r>
      <w:r w:rsidR="00C856A8" w:rsidRPr="009D3E34">
        <w:t>20</w:t>
      </w:r>
      <w:r w:rsidR="00CE5066" w:rsidRPr="009D3E34">
        <w:t xml:space="preserve"> </w:t>
      </w:r>
      <w:r w:rsidR="00662123" w:rsidRPr="009D3E34">
        <w:t xml:space="preserve">in-depth </w:t>
      </w:r>
      <w:r w:rsidR="0043403F" w:rsidRPr="009D3E34">
        <w:t>interviews, documentary analysis</w:t>
      </w:r>
      <w:r w:rsidR="001B3EC8" w:rsidRPr="009D3E34">
        <w:t xml:space="preserve"> and observation</w:t>
      </w:r>
      <w:r w:rsidR="0043403F" w:rsidRPr="009D3E34">
        <w:t>.</w:t>
      </w:r>
    </w:p>
    <w:p w14:paraId="2736DB0E" w14:textId="5A1B6A2E" w:rsidR="008D0A4B" w:rsidRPr="009D3E34" w:rsidRDefault="002747DF" w:rsidP="008D0A4B">
      <w:pPr>
        <w:pStyle w:val="nikoneindenttext15"/>
      </w:pPr>
      <w:r w:rsidRPr="009D3E34">
        <w:t xml:space="preserve">The interviews </w:t>
      </w:r>
      <w:r w:rsidR="009C3667" w:rsidRPr="009D3E34">
        <w:t xml:space="preserve">were used </w:t>
      </w:r>
      <w:r w:rsidRPr="009D3E34">
        <w:t xml:space="preserve">to gather detailed insights on how the Corporate Reporting </w:t>
      </w:r>
      <w:r w:rsidR="006D5E30" w:rsidRPr="009D3E34">
        <w:t xml:space="preserve">Dialogue </w:t>
      </w:r>
      <w:r w:rsidRPr="009D3E34">
        <w:t xml:space="preserve">was convened and operated, and </w:t>
      </w:r>
      <w:r w:rsidR="0021764D" w:rsidRPr="009D3E34">
        <w:t>interpretations of how</w:t>
      </w:r>
      <w:r w:rsidRPr="009D3E34">
        <w:t xml:space="preserve"> the wave of standardising initiatives </w:t>
      </w:r>
      <w:r w:rsidR="00041234" w:rsidRPr="009D3E34">
        <w:t>influenced</w:t>
      </w:r>
      <w:r w:rsidRPr="009D3E34">
        <w:t xml:space="preserve"> the standardisation of sustainability reporting. </w:t>
      </w:r>
      <w:r w:rsidR="00646D4C" w:rsidRPr="009D3E34">
        <w:t>A purposive sample of i</w:t>
      </w:r>
      <w:r w:rsidRPr="009D3E34">
        <w:t xml:space="preserve">nterviewees </w:t>
      </w:r>
      <w:r w:rsidR="0032707C" w:rsidRPr="009D3E34">
        <w:t xml:space="preserve">sought </w:t>
      </w:r>
      <w:r w:rsidR="00646D4C" w:rsidRPr="009D3E34">
        <w:t xml:space="preserve">to </w:t>
      </w:r>
      <w:r w:rsidR="001B3EC8" w:rsidRPr="009D3E34">
        <w:t>identify</w:t>
      </w:r>
      <w:r w:rsidR="00646D4C" w:rsidRPr="009D3E34">
        <w:t xml:space="preserve"> key actors </w:t>
      </w:r>
      <w:r w:rsidR="00166C5A" w:rsidRPr="009D3E34">
        <w:t>involved in the</w:t>
      </w:r>
      <w:r w:rsidR="00646D4C" w:rsidRPr="009D3E34">
        <w:t xml:space="preserve"> Corporate Reporting Dialogue, </w:t>
      </w:r>
      <w:r w:rsidR="00166C5A" w:rsidRPr="009D3E34">
        <w:t xml:space="preserve">plus those </w:t>
      </w:r>
      <w:r w:rsidR="00646D4C" w:rsidRPr="009D3E34">
        <w:t xml:space="preserve">active in </w:t>
      </w:r>
      <w:r w:rsidR="00166C5A" w:rsidRPr="009D3E34">
        <w:t>the sustainability reporting arena o</w:t>
      </w:r>
      <w:r w:rsidR="00646D4C" w:rsidRPr="009D3E34">
        <w:t xml:space="preserve">utside the </w:t>
      </w:r>
      <w:r w:rsidR="00166C5A" w:rsidRPr="009D3E34">
        <w:t xml:space="preserve">Dialogue to </w:t>
      </w:r>
      <w:r w:rsidR="0032707C" w:rsidRPr="009D3E34">
        <w:t xml:space="preserve">gain </w:t>
      </w:r>
      <w:r w:rsidR="0054358F" w:rsidRPr="009D3E34">
        <w:t>alternative</w:t>
      </w:r>
      <w:r w:rsidR="0032707C" w:rsidRPr="009D3E34">
        <w:t xml:space="preserve"> perspectives and </w:t>
      </w:r>
      <w:r w:rsidR="00166C5A" w:rsidRPr="009D3E34">
        <w:t xml:space="preserve">explore </w:t>
      </w:r>
      <w:r w:rsidR="0032707C" w:rsidRPr="009D3E34">
        <w:t xml:space="preserve">potential </w:t>
      </w:r>
      <w:r w:rsidR="00166C5A" w:rsidRPr="009D3E34">
        <w:t>‘disconfirming cases’ (</w:t>
      </w:r>
      <w:proofErr w:type="spellStart"/>
      <w:r w:rsidR="00166C5A" w:rsidRPr="009D3E34">
        <w:t>Solarino</w:t>
      </w:r>
      <w:proofErr w:type="spellEnd"/>
      <w:r w:rsidR="00166C5A" w:rsidRPr="009D3E34">
        <w:t xml:space="preserve"> &amp; </w:t>
      </w:r>
      <w:proofErr w:type="spellStart"/>
      <w:r w:rsidR="00166C5A" w:rsidRPr="009D3E34">
        <w:t>Aguinis</w:t>
      </w:r>
      <w:proofErr w:type="spellEnd"/>
      <w:r w:rsidR="00166C5A" w:rsidRPr="009D3E34">
        <w:t xml:space="preserve">, 2021). </w:t>
      </w:r>
      <w:r w:rsidR="001B3EC8" w:rsidRPr="009D3E34">
        <w:t>Therefore, o</w:t>
      </w:r>
      <w:r w:rsidR="00166C5A" w:rsidRPr="009D3E34">
        <w:t xml:space="preserve">ne set of interviewees </w:t>
      </w:r>
      <w:r w:rsidR="00646D4C" w:rsidRPr="009D3E34">
        <w:t>was</w:t>
      </w:r>
      <w:r w:rsidRPr="009D3E34">
        <w:t xml:space="preserve"> </w:t>
      </w:r>
      <w:r w:rsidR="00646D4C" w:rsidRPr="009D3E34">
        <w:t xml:space="preserve">identified </w:t>
      </w:r>
      <w:r w:rsidRPr="009D3E34">
        <w:t xml:space="preserve">as having significant involvement in the Dialogue and </w:t>
      </w:r>
      <w:r w:rsidR="00646D4C" w:rsidRPr="009D3E34">
        <w:lastRenderedPageBreak/>
        <w:t xml:space="preserve">representing </w:t>
      </w:r>
      <w:r w:rsidRPr="009D3E34">
        <w:t xml:space="preserve">its member bodies. </w:t>
      </w:r>
      <w:r w:rsidR="00646D4C" w:rsidRPr="009D3E34">
        <w:t xml:space="preserve">A </w:t>
      </w:r>
      <w:r w:rsidR="0032707C" w:rsidRPr="009D3E34">
        <w:t xml:space="preserve">further </w:t>
      </w:r>
      <w:r w:rsidR="00646D4C" w:rsidRPr="009D3E34">
        <w:t>set of i</w:t>
      </w:r>
      <w:r w:rsidRPr="009D3E34">
        <w:t xml:space="preserve">nterviewees outside the Corporate Reporting Dialogue were identified as active in the standardisation of sustainability reporting through membership of other significant </w:t>
      </w:r>
      <w:r w:rsidR="0021764D" w:rsidRPr="009D3E34">
        <w:t>‘sustain</w:t>
      </w:r>
      <w:r w:rsidR="00A8672A" w:rsidRPr="009D3E34">
        <w:t>a</w:t>
      </w:r>
      <w:r w:rsidR="0021764D" w:rsidRPr="009D3E34">
        <w:t>bility’</w:t>
      </w:r>
      <w:r w:rsidRPr="009D3E34">
        <w:t xml:space="preserve"> initiatives. </w:t>
      </w:r>
      <w:r w:rsidR="00041234" w:rsidRPr="009D3E34">
        <w:t xml:space="preserve">From this </w:t>
      </w:r>
      <w:r w:rsidR="0032707C" w:rsidRPr="009D3E34">
        <w:t>purposive</w:t>
      </w:r>
      <w:r w:rsidR="00041234" w:rsidRPr="009D3E34">
        <w:t xml:space="preserve"> sampling</w:t>
      </w:r>
      <w:r w:rsidR="008D0A4B" w:rsidRPr="009D3E34">
        <w:t xml:space="preserve">, </w:t>
      </w:r>
      <w:r w:rsidR="007B724A" w:rsidRPr="009D3E34">
        <w:t>1</w:t>
      </w:r>
      <w:r w:rsidR="00713423" w:rsidRPr="009D3E34">
        <w:t>3</w:t>
      </w:r>
      <w:r w:rsidR="007B724A" w:rsidRPr="009D3E34">
        <w:t xml:space="preserve"> interviews </w:t>
      </w:r>
      <w:r w:rsidR="008D0A4B" w:rsidRPr="009D3E34">
        <w:t xml:space="preserve">were conducted </w:t>
      </w:r>
      <w:r w:rsidR="007B724A" w:rsidRPr="009D3E34">
        <w:t xml:space="preserve">with individuals who are active members of the Corporate Reporting Dialogue, </w:t>
      </w:r>
      <w:r w:rsidR="00713423" w:rsidRPr="009D3E34">
        <w:t>5</w:t>
      </w:r>
      <w:r w:rsidR="007B724A" w:rsidRPr="009D3E34">
        <w:t xml:space="preserve"> interviews </w:t>
      </w:r>
      <w:r w:rsidR="008D0A4B" w:rsidRPr="009D3E34">
        <w:t>were conducted with</w:t>
      </w:r>
      <w:r w:rsidR="007B724A" w:rsidRPr="009D3E34">
        <w:t xml:space="preserve"> individuals representing established </w:t>
      </w:r>
      <w:r w:rsidR="00EE2D08" w:rsidRPr="009D3E34">
        <w:t xml:space="preserve">transnational </w:t>
      </w:r>
      <w:r w:rsidR="007B724A" w:rsidRPr="009D3E34">
        <w:t>standardis</w:t>
      </w:r>
      <w:r w:rsidR="00EE2D08" w:rsidRPr="009D3E34">
        <w:t>ing bodies</w:t>
      </w:r>
      <w:r w:rsidR="007B724A" w:rsidRPr="009D3E34">
        <w:t xml:space="preserve"> who </w:t>
      </w:r>
      <w:r w:rsidR="00D02EA7" w:rsidRPr="009D3E34">
        <w:t xml:space="preserve">were not </w:t>
      </w:r>
      <w:r w:rsidR="007B724A" w:rsidRPr="009D3E34">
        <w:t xml:space="preserve">members of the Dialogue but provide guidance on the relationship between corporate activity and sustainable development. A further 2 interviews were undertaken with other actors active in </w:t>
      </w:r>
      <w:r w:rsidR="00D02EA7" w:rsidRPr="009D3E34">
        <w:t xml:space="preserve">the </w:t>
      </w:r>
      <w:r w:rsidR="008D0A4B" w:rsidRPr="009D3E34">
        <w:t>sustainability reporting arena</w:t>
      </w:r>
      <w:r w:rsidR="007B724A" w:rsidRPr="009D3E34">
        <w:t xml:space="preserve"> who represented </w:t>
      </w:r>
      <w:r w:rsidR="00EE2D08" w:rsidRPr="009D3E34">
        <w:t xml:space="preserve">professional </w:t>
      </w:r>
      <w:r w:rsidR="007B724A" w:rsidRPr="009D3E34">
        <w:t>accounting bodies</w:t>
      </w:r>
      <w:r w:rsidR="008D0A4B" w:rsidRPr="009D3E34">
        <w:t xml:space="preserve"> </w:t>
      </w:r>
      <w:r w:rsidR="00EE2D08" w:rsidRPr="009D3E34">
        <w:t xml:space="preserve">and preparers </w:t>
      </w:r>
      <w:r w:rsidR="008D0A4B" w:rsidRPr="009D3E34">
        <w:t>(see Table 1)</w:t>
      </w:r>
      <w:r w:rsidR="007B724A" w:rsidRPr="009D3E34">
        <w:t>.</w:t>
      </w:r>
      <w:r w:rsidR="008D0A4B" w:rsidRPr="009D3E34">
        <w:t xml:space="preserve"> </w:t>
      </w:r>
      <w:r w:rsidR="00B3712F" w:rsidRPr="009D3E34">
        <w:t>Non</w:t>
      </w:r>
      <w:r w:rsidR="00EA3294" w:rsidRPr="009D3E34">
        <w:t>-</w:t>
      </w:r>
      <w:r w:rsidR="00B3712F" w:rsidRPr="009D3E34">
        <w:t xml:space="preserve">Corporate Reporting Dialogue bodies represented by interviewees include the TCFD, World Business Council for Sustainable Development, UN Global </w:t>
      </w:r>
      <w:proofErr w:type="gramStart"/>
      <w:r w:rsidR="00B3712F" w:rsidRPr="009D3E34">
        <w:t>Compact</w:t>
      </w:r>
      <w:proofErr w:type="gramEnd"/>
      <w:r w:rsidR="00B3712F" w:rsidRPr="009D3E34">
        <w:t xml:space="preserve"> and the UN Principles for Responsible Investment. </w:t>
      </w:r>
      <w:r w:rsidR="00101D80" w:rsidRPr="009D3E34">
        <w:t xml:space="preserve">Interview data saturation was judged to be reached when little or no new information </w:t>
      </w:r>
      <w:r w:rsidR="006E5F82" w:rsidRPr="009D3E34">
        <w:t xml:space="preserve">could be garnered (Guest et al., 2006). </w:t>
      </w:r>
      <w:r w:rsidRPr="009D3E34">
        <w:t xml:space="preserve">Although ethical responsibilities for data access and usage preclude giving </w:t>
      </w:r>
      <w:r w:rsidR="000A083B" w:rsidRPr="009D3E34">
        <w:t xml:space="preserve">specific </w:t>
      </w:r>
      <w:r w:rsidRPr="009D3E34">
        <w:t>details on individual participants</w:t>
      </w:r>
      <w:r w:rsidR="000A083B" w:rsidRPr="009D3E34">
        <w:t xml:space="preserve"> to protect their identities</w:t>
      </w:r>
      <w:r w:rsidRPr="009D3E34">
        <w:t xml:space="preserve">, </w:t>
      </w:r>
      <w:r w:rsidR="007B724A" w:rsidRPr="009D3E34">
        <w:t xml:space="preserve">the </w:t>
      </w:r>
      <w:r w:rsidRPr="009D3E34">
        <w:t xml:space="preserve">interviewees represented chairs and heads of specific standardisers, technical </w:t>
      </w:r>
      <w:proofErr w:type="gramStart"/>
      <w:r w:rsidRPr="009D3E34">
        <w:t>directors</w:t>
      </w:r>
      <w:proofErr w:type="gramEnd"/>
      <w:r w:rsidRPr="009D3E34">
        <w:t xml:space="preserve"> and project managers</w:t>
      </w:r>
      <w:r w:rsidR="00F800BF" w:rsidRPr="009D3E34">
        <w:t xml:space="preserve"> – interviewee </w:t>
      </w:r>
      <w:r w:rsidR="00230999" w:rsidRPr="009D3E34">
        <w:t>codes are designated in Table 1</w:t>
      </w:r>
      <w:r w:rsidRPr="009D3E34">
        <w:t>.</w:t>
      </w:r>
      <w:r w:rsidR="008D0A4B" w:rsidRPr="009D3E34">
        <w:t xml:space="preserve"> </w:t>
      </w:r>
      <w:r w:rsidR="006E7638" w:rsidRPr="009D3E34">
        <w:t xml:space="preserve">As several interviewees also represented other organisations via technical working groups </w:t>
      </w:r>
      <w:r w:rsidR="00DE4E36" w:rsidRPr="009D3E34">
        <w:t xml:space="preserve">or secondments </w:t>
      </w:r>
      <w:r w:rsidR="006E7638" w:rsidRPr="009D3E34">
        <w:t xml:space="preserve">(and many had represented other organisations in the past), their ‘institution’ </w:t>
      </w:r>
      <w:r w:rsidR="00DE4E36" w:rsidRPr="009D3E34">
        <w:t xml:space="preserve">is identified in </w:t>
      </w:r>
      <w:r w:rsidR="006E7638" w:rsidRPr="009D3E34">
        <w:t>accordan</w:t>
      </w:r>
      <w:r w:rsidR="006D5E30" w:rsidRPr="009D3E34">
        <w:t>ce</w:t>
      </w:r>
      <w:r w:rsidR="006E7638" w:rsidRPr="009D3E34">
        <w:t xml:space="preserve"> with their main role at the time of the interview. </w:t>
      </w:r>
      <w:r w:rsidR="008D0A4B" w:rsidRPr="009D3E34">
        <w:t xml:space="preserve">On average the interviews were </w:t>
      </w:r>
      <w:r w:rsidR="006E7638" w:rsidRPr="009D3E34">
        <w:t>58 minutes long</w:t>
      </w:r>
      <w:r w:rsidR="008D0A4B" w:rsidRPr="009D3E34">
        <w:t xml:space="preserve"> and took place </w:t>
      </w:r>
      <w:r w:rsidR="00185115" w:rsidRPr="009D3E34">
        <w:t>between</w:t>
      </w:r>
      <w:r w:rsidR="008D0A4B" w:rsidRPr="009D3E34">
        <w:t xml:space="preserve"> </w:t>
      </w:r>
      <w:r w:rsidR="00185115" w:rsidRPr="009D3E34">
        <w:t xml:space="preserve">April </w:t>
      </w:r>
      <w:r w:rsidR="008D0A4B" w:rsidRPr="009D3E34">
        <w:t xml:space="preserve">2019 and </w:t>
      </w:r>
      <w:r w:rsidR="00185115" w:rsidRPr="009D3E34">
        <w:t xml:space="preserve">March </w:t>
      </w:r>
      <w:r w:rsidR="008D0A4B" w:rsidRPr="009D3E34">
        <w:t>2020.</w:t>
      </w:r>
    </w:p>
    <w:p w14:paraId="00F248C0" w14:textId="77777777" w:rsidR="006E7638" w:rsidRPr="009D3E34" w:rsidRDefault="006E7638" w:rsidP="008D0A4B">
      <w:pPr>
        <w:pStyle w:val="nikoneindenttext15"/>
      </w:pPr>
    </w:p>
    <w:p w14:paraId="1E7FC41F" w14:textId="77777777" w:rsidR="00BB3EB0" w:rsidRPr="009D3E34" w:rsidRDefault="00BB3EB0" w:rsidP="00BB3EB0">
      <w:pPr>
        <w:pStyle w:val="niktext15"/>
        <w:rPr>
          <w:u w:val="single"/>
        </w:rPr>
      </w:pPr>
      <w:r w:rsidRPr="009D3E34">
        <w:rPr>
          <w:u w:val="single"/>
        </w:rPr>
        <w:t>Table 1: Interview Participants</w:t>
      </w:r>
    </w:p>
    <w:tbl>
      <w:tblPr>
        <w:tblStyle w:val="TableGrid"/>
        <w:tblW w:w="0" w:type="auto"/>
        <w:tblLook w:val="04A0" w:firstRow="1" w:lastRow="0" w:firstColumn="1" w:lastColumn="0" w:noHBand="0" w:noVBand="1"/>
      </w:tblPr>
      <w:tblGrid>
        <w:gridCol w:w="5807"/>
        <w:gridCol w:w="3373"/>
      </w:tblGrid>
      <w:tr w:rsidR="00BB3EB0" w:rsidRPr="009D3E34" w14:paraId="5B582C45" w14:textId="77777777" w:rsidTr="00713423">
        <w:tc>
          <w:tcPr>
            <w:tcW w:w="5807" w:type="dxa"/>
          </w:tcPr>
          <w:p w14:paraId="2693ADA2" w14:textId="5AACA133" w:rsidR="00BB3EB0" w:rsidRPr="009D3E34" w:rsidRDefault="00D5056B" w:rsidP="0024667E">
            <w:pPr>
              <w:pStyle w:val="niktext15"/>
              <w:rPr>
                <w:b/>
              </w:rPr>
            </w:pPr>
            <w:r w:rsidRPr="009D3E34">
              <w:rPr>
                <w:b/>
              </w:rPr>
              <w:t>Institution</w:t>
            </w:r>
            <w:r w:rsidR="00D95C7C" w:rsidRPr="009D3E34">
              <w:rPr>
                <w:b/>
              </w:rPr>
              <w:t>s (and Acronyms)</w:t>
            </w:r>
          </w:p>
        </w:tc>
        <w:tc>
          <w:tcPr>
            <w:tcW w:w="3373" w:type="dxa"/>
          </w:tcPr>
          <w:p w14:paraId="0A78E790" w14:textId="6672F327" w:rsidR="00BB3EB0" w:rsidRPr="009D3E34" w:rsidRDefault="006B4F50" w:rsidP="0024667E">
            <w:pPr>
              <w:pStyle w:val="niktext15"/>
              <w:rPr>
                <w:b/>
              </w:rPr>
            </w:pPr>
            <w:r w:rsidRPr="009D3E34">
              <w:rPr>
                <w:b/>
              </w:rPr>
              <w:t>Interviewees</w:t>
            </w:r>
          </w:p>
        </w:tc>
      </w:tr>
      <w:tr w:rsidR="00BB3EB0" w:rsidRPr="009D3E34" w14:paraId="3C22C7E8" w14:textId="77777777" w:rsidTr="00713423">
        <w:tc>
          <w:tcPr>
            <w:tcW w:w="5807" w:type="dxa"/>
          </w:tcPr>
          <w:p w14:paraId="54290DDE" w14:textId="13DB18FF" w:rsidR="00BB3EB0" w:rsidRPr="009D3E34" w:rsidRDefault="00BB3EB0" w:rsidP="0083191D">
            <w:pPr>
              <w:pStyle w:val="niktext15"/>
              <w:spacing w:line="240" w:lineRule="auto"/>
              <w:rPr>
                <w:u w:val="single"/>
              </w:rPr>
            </w:pPr>
            <w:r w:rsidRPr="009D3E34">
              <w:rPr>
                <w:u w:val="single"/>
              </w:rPr>
              <w:t>Corporate Reporting Dialogue</w:t>
            </w:r>
          </w:p>
          <w:p w14:paraId="575AB4FE" w14:textId="77777777" w:rsidR="00713423" w:rsidRPr="009D3E34" w:rsidRDefault="00713423" w:rsidP="0083191D">
            <w:pPr>
              <w:pStyle w:val="niktext15"/>
              <w:spacing w:line="240" w:lineRule="auto"/>
              <w:rPr>
                <w:u w:val="single"/>
              </w:rPr>
            </w:pPr>
          </w:p>
          <w:p w14:paraId="31B7A543" w14:textId="77777777" w:rsidR="00713423" w:rsidRPr="009D3E34" w:rsidRDefault="00713423" w:rsidP="0083191D">
            <w:pPr>
              <w:pStyle w:val="niktext15"/>
              <w:spacing w:line="240" w:lineRule="auto"/>
            </w:pPr>
            <w:r w:rsidRPr="009D3E34">
              <w:t>Carbon Disclosure Project (CDP)</w:t>
            </w:r>
          </w:p>
          <w:p w14:paraId="4AFEEB9C" w14:textId="5E9AF0A8" w:rsidR="00713423" w:rsidRPr="009D3E34" w:rsidRDefault="002664D4" w:rsidP="0083191D">
            <w:pPr>
              <w:pStyle w:val="niktext15"/>
              <w:spacing w:line="240" w:lineRule="auto"/>
            </w:pPr>
            <w:r w:rsidRPr="009D3E34">
              <w:t>Climate</w:t>
            </w:r>
            <w:r w:rsidR="00713423" w:rsidRPr="009D3E34">
              <w:t xml:space="preserve"> Disclosure Standards Board (CDSB)</w:t>
            </w:r>
          </w:p>
          <w:p w14:paraId="2C89C518" w14:textId="77777777" w:rsidR="00713423" w:rsidRPr="009D3E34" w:rsidRDefault="00713423" w:rsidP="0083191D">
            <w:pPr>
              <w:pStyle w:val="niktext15"/>
              <w:spacing w:line="240" w:lineRule="auto"/>
            </w:pPr>
            <w:r w:rsidRPr="009D3E34">
              <w:t>Global Reporting Initiative (GRI)</w:t>
            </w:r>
          </w:p>
          <w:p w14:paraId="72653EEB" w14:textId="77777777" w:rsidR="00713423" w:rsidRPr="009D3E34" w:rsidRDefault="00713423" w:rsidP="0083191D">
            <w:pPr>
              <w:pStyle w:val="niktext15"/>
              <w:spacing w:line="240" w:lineRule="auto"/>
            </w:pPr>
            <w:r w:rsidRPr="009D3E34">
              <w:t>International Accounting Standards Board (IASB)</w:t>
            </w:r>
          </w:p>
          <w:p w14:paraId="2F95A3EB" w14:textId="19675E35" w:rsidR="00713423" w:rsidRPr="009D3E34" w:rsidRDefault="00713423" w:rsidP="0083191D">
            <w:pPr>
              <w:pStyle w:val="niktext15"/>
              <w:spacing w:line="240" w:lineRule="auto"/>
            </w:pPr>
            <w:r w:rsidRPr="009D3E34">
              <w:t>International Integrated Reporting Council (IIRC)</w:t>
            </w:r>
          </w:p>
          <w:p w14:paraId="2F54393D" w14:textId="61AFC7EC" w:rsidR="00713423" w:rsidRPr="009D3E34" w:rsidRDefault="00713423" w:rsidP="0083191D">
            <w:pPr>
              <w:pStyle w:val="niktext15"/>
              <w:spacing w:line="240" w:lineRule="auto"/>
            </w:pPr>
            <w:r w:rsidRPr="009D3E34">
              <w:t>International Organization for Standardization (ISO)</w:t>
            </w:r>
          </w:p>
          <w:p w14:paraId="6A733935" w14:textId="0A59B8BD" w:rsidR="00BB3EB0" w:rsidRPr="009D3E34" w:rsidRDefault="00713423" w:rsidP="0083191D">
            <w:pPr>
              <w:pStyle w:val="niktext15"/>
              <w:spacing w:line="240" w:lineRule="auto"/>
            </w:pPr>
            <w:r w:rsidRPr="009D3E34">
              <w:t>Sustainability Accounting Standards Board (SASB)</w:t>
            </w:r>
          </w:p>
          <w:p w14:paraId="6AEC5DDB" w14:textId="77777777" w:rsidR="00EE2D08" w:rsidRPr="009D3E34" w:rsidRDefault="00EE2D08" w:rsidP="0083191D">
            <w:pPr>
              <w:pStyle w:val="niktext15"/>
              <w:spacing w:line="240" w:lineRule="auto"/>
            </w:pPr>
            <w:r w:rsidRPr="009D3E34">
              <w:t>US Financial Accounting Standards Board (FASB)</w:t>
            </w:r>
          </w:p>
          <w:p w14:paraId="60A72C4E" w14:textId="4605E01B" w:rsidR="00BB3EB0" w:rsidRPr="009D3E34" w:rsidRDefault="00BB3EB0" w:rsidP="0083191D">
            <w:pPr>
              <w:pStyle w:val="niktext15"/>
              <w:spacing w:line="240" w:lineRule="auto"/>
            </w:pPr>
          </w:p>
        </w:tc>
        <w:tc>
          <w:tcPr>
            <w:tcW w:w="3373" w:type="dxa"/>
          </w:tcPr>
          <w:p w14:paraId="085B92FE" w14:textId="2BDFCD38" w:rsidR="00BB3EB0" w:rsidRPr="009D3E34" w:rsidRDefault="00BB3EB0" w:rsidP="0024667E">
            <w:pPr>
              <w:pStyle w:val="niktext15"/>
            </w:pPr>
            <w:r w:rsidRPr="009D3E34">
              <w:t>C1-C1</w:t>
            </w:r>
            <w:r w:rsidR="00713423" w:rsidRPr="009D3E34">
              <w:t>3</w:t>
            </w:r>
          </w:p>
        </w:tc>
      </w:tr>
      <w:tr w:rsidR="00BB3EB0" w:rsidRPr="009D3E34" w14:paraId="4798D089" w14:textId="77777777" w:rsidTr="00713423">
        <w:tc>
          <w:tcPr>
            <w:tcW w:w="5807" w:type="dxa"/>
          </w:tcPr>
          <w:p w14:paraId="656DF0CB" w14:textId="77777777" w:rsidR="00BB3EB0" w:rsidRPr="009D3E34" w:rsidRDefault="00BB3EB0" w:rsidP="0083191D">
            <w:pPr>
              <w:pStyle w:val="niktext15"/>
              <w:spacing w:line="240" w:lineRule="auto"/>
              <w:rPr>
                <w:u w:val="single"/>
              </w:rPr>
            </w:pPr>
            <w:r w:rsidRPr="009D3E34">
              <w:rPr>
                <w:u w:val="single"/>
              </w:rPr>
              <w:t>Non-Corporate Reporting Dialogue</w:t>
            </w:r>
          </w:p>
          <w:p w14:paraId="44A34144" w14:textId="7C054CB7" w:rsidR="00713423" w:rsidRPr="009D3E34" w:rsidRDefault="00713423" w:rsidP="0083191D">
            <w:pPr>
              <w:pStyle w:val="niktext15"/>
              <w:spacing w:line="240" w:lineRule="auto"/>
            </w:pPr>
          </w:p>
          <w:p w14:paraId="70C1C086" w14:textId="0A81B26F" w:rsidR="00041234" w:rsidRPr="009D3E34" w:rsidRDefault="00041234" w:rsidP="0083191D">
            <w:pPr>
              <w:pStyle w:val="niktext15"/>
              <w:spacing w:line="240" w:lineRule="auto"/>
            </w:pPr>
            <w:r w:rsidRPr="009D3E34">
              <w:t>Transnational Reporting Standardisers</w:t>
            </w:r>
          </w:p>
          <w:p w14:paraId="2B8E25BF" w14:textId="4A03041E" w:rsidR="00D5056B" w:rsidRPr="009D3E34" w:rsidRDefault="00D5056B" w:rsidP="0083191D">
            <w:pPr>
              <w:pStyle w:val="niktext15"/>
              <w:spacing w:line="240" w:lineRule="auto"/>
            </w:pPr>
            <w:r w:rsidRPr="009D3E34">
              <w:lastRenderedPageBreak/>
              <w:t>Multinational Accounting Firms</w:t>
            </w:r>
          </w:p>
          <w:p w14:paraId="725CF653" w14:textId="059AEF63" w:rsidR="00D5056B" w:rsidRPr="009D3E34" w:rsidRDefault="00D5056B" w:rsidP="0083191D">
            <w:pPr>
              <w:pStyle w:val="niktext15"/>
              <w:spacing w:line="240" w:lineRule="auto"/>
            </w:pPr>
            <w:r w:rsidRPr="009D3E34">
              <w:t>Professional Accountancy Bodies</w:t>
            </w:r>
          </w:p>
          <w:p w14:paraId="1D5BDA83" w14:textId="45BB7C7A" w:rsidR="00713423" w:rsidRPr="009D3E34" w:rsidRDefault="00713423" w:rsidP="0083191D">
            <w:pPr>
              <w:pStyle w:val="niktext15"/>
              <w:spacing w:line="240" w:lineRule="auto"/>
            </w:pPr>
          </w:p>
        </w:tc>
        <w:tc>
          <w:tcPr>
            <w:tcW w:w="3373" w:type="dxa"/>
          </w:tcPr>
          <w:p w14:paraId="67DA9526" w14:textId="39835293" w:rsidR="00BB3EB0" w:rsidRPr="009D3E34" w:rsidRDefault="00BB3EB0" w:rsidP="0024667E">
            <w:pPr>
              <w:pStyle w:val="niktext15"/>
            </w:pPr>
            <w:r w:rsidRPr="009D3E34">
              <w:lastRenderedPageBreak/>
              <w:t>S1-S</w:t>
            </w:r>
            <w:r w:rsidR="00713423" w:rsidRPr="009D3E34">
              <w:t>7</w:t>
            </w:r>
          </w:p>
        </w:tc>
      </w:tr>
    </w:tbl>
    <w:p w14:paraId="51C963F3" w14:textId="65DB5943" w:rsidR="00BB3EB0" w:rsidRPr="009D3E34" w:rsidRDefault="00BB3EB0" w:rsidP="00BB3EB0">
      <w:pPr>
        <w:pStyle w:val="nikoneindenttext15"/>
      </w:pPr>
    </w:p>
    <w:p w14:paraId="479B8AA9" w14:textId="68C54B90" w:rsidR="008F7301" w:rsidRPr="009D3E34" w:rsidRDefault="00A4007F" w:rsidP="00A6398A">
      <w:pPr>
        <w:pStyle w:val="nikoneindenttext15"/>
      </w:pPr>
      <w:r w:rsidRPr="009D3E34">
        <w:t>Before each interview, research was undertaken on the professional history of interviewees and their specific roles in relation to sustainability reporting standardisation to understand their different perspectives and the context surrounding their responses</w:t>
      </w:r>
      <w:r w:rsidR="0032707C" w:rsidRPr="009D3E34">
        <w:t xml:space="preserve"> (</w:t>
      </w:r>
      <w:proofErr w:type="spellStart"/>
      <w:r w:rsidR="0032707C" w:rsidRPr="009D3E34">
        <w:t>Solarino</w:t>
      </w:r>
      <w:proofErr w:type="spellEnd"/>
      <w:r w:rsidR="0032707C" w:rsidRPr="009D3E34">
        <w:t xml:space="preserve"> &amp; </w:t>
      </w:r>
      <w:proofErr w:type="spellStart"/>
      <w:r w:rsidR="0032707C" w:rsidRPr="009D3E34">
        <w:t>Aguinis</w:t>
      </w:r>
      <w:proofErr w:type="spellEnd"/>
      <w:r w:rsidR="0032707C" w:rsidRPr="009D3E34">
        <w:t>, 2021)</w:t>
      </w:r>
      <w:r w:rsidRPr="009D3E34">
        <w:t xml:space="preserve">. The interview format was loosely structured </w:t>
      </w:r>
      <w:r w:rsidR="001157DD" w:rsidRPr="009D3E34">
        <w:t>where</w:t>
      </w:r>
      <w:r w:rsidRPr="009D3E34">
        <w:t xml:space="preserve"> i</w:t>
      </w:r>
      <w:r w:rsidR="008F7301" w:rsidRPr="009D3E34">
        <w:t>nterviewees were invited to discuss their views on, and understanding and operationalisation of, the Corporate Reporting Dialogue</w:t>
      </w:r>
      <w:r w:rsidR="001157DD" w:rsidRPr="009D3E34">
        <w:t>, its member bodies</w:t>
      </w:r>
      <w:r w:rsidR="008F7301" w:rsidRPr="009D3E34">
        <w:t xml:space="preserve"> and how they perceived it affected </w:t>
      </w:r>
      <w:r w:rsidR="001157DD" w:rsidRPr="009D3E34">
        <w:t>sustainability reporting</w:t>
      </w:r>
      <w:r w:rsidR="00FD3553" w:rsidRPr="009D3E34">
        <w:t xml:space="preserve"> standardisation</w:t>
      </w:r>
      <w:r w:rsidR="001157DD" w:rsidRPr="009D3E34">
        <w:t xml:space="preserve">. The discussion moved </w:t>
      </w:r>
      <w:r w:rsidR="00FD3553" w:rsidRPr="009D3E34">
        <w:t xml:space="preserve">on </w:t>
      </w:r>
      <w:r w:rsidR="001157DD" w:rsidRPr="009D3E34">
        <w:t>to gathering perceptions on the role of other standardisers and collaborative standardising initiatives</w:t>
      </w:r>
      <w:r w:rsidR="008F7301" w:rsidRPr="009D3E34">
        <w:t xml:space="preserve">, whilst subsequent questions were derived from their responses and their </w:t>
      </w:r>
      <w:proofErr w:type="gramStart"/>
      <w:r w:rsidR="008F7301" w:rsidRPr="009D3E34">
        <w:t>particular roles</w:t>
      </w:r>
      <w:proofErr w:type="gramEnd"/>
      <w:r w:rsidR="008F7301" w:rsidRPr="009D3E34">
        <w:t xml:space="preserve"> and experiences.</w:t>
      </w:r>
      <w:r w:rsidR="0054358F" w:rsidRPr="009D3E34">
        <w:t xml:space="preserve"> The interviews were recorded, transcribed, </w:t>
      </w:r>
      <w:proofErr w:type="gramStart"/>
      <w:r w:rsidR="0054358F" w:rsidRPr="009D3E34">
        <w:t>analysed</w:t>
      </w:r>
      <w:proofErr w:type="gramEnd"/>
      <w:r w:rsidR="0054358F" w:rsidRPr="009D3E34">
        <w:t xml:space="preserve"> and coded in NVivo.</w:t>
      </w:r>
    </w:p>
    <w:p w14:paraId="76B995FC" w14:textId="5E1ABD54" w:rsidR="00447020" w:rsidRPr="009D3E34" w:rsidRDefault="00F463BB" w:rsidP="00447020">
      <w:pPr>
        <w:pStyle w:val="nikoneindenttext15"/>
      </w:pPr>
      <w:r w:rsidRPr="009D3E34">
        <w:t xml:space="preserve">The evidence base was also supported by </w:t>
      </w:r>
      <w:r w:rsidR="00760B4A" w:rsidRPr="009D3E34">
        <w:t xml:space="preserve">documentary analysis of all materials (reports, standards, frameworks, minutes) published by </w:t>
      </w:r>
      <w:r w:rsidR="00DE4E36" w:rsidRPr="009D3E34">
        <w:t xml:space="preserve">the </w:t>
      </w:r>
      <w:r w:rsidR="00760B4A" w:rsidRPr="009D3E34">
        <w:t xml:space="preserve">Corporate Reporting Dialogue and its active members from 2013 until </w:t>
      </w:r>
      <w:r w:rsidR="007018B7" w:rsidRPr="009D3E34">
        <w:t>December</w:t>
      </w:r>
      <w:r w:rsidR="00760B4A" w:rsidRPr="009D3E34">
        <w:t xml:space="preserve"> 2020. This was augmented by analysis of </w:t>
      </w:r>
      <w:r w:rsidR="00D02EA7" w:rsidRPr="009D3E34">
        <w:t>the</w:t>
      </w:r>
      <w:r w:rsidR="00760B4A" w:rsidRPr="009D3E34">
        <w:t xml:space="preserve"> documentation published by other standardisers and initiatives seeking to offer or comment on visions of sustainability reporting and its potential alignment. These included the publications of </w:t>
      </w:r>
      <w:r w:rsidR="00AC57FB" w:rsidRPr="009D3E34">
        <w:t>supra</w:t>
      </w:r>
      <w:r w:rsidR="00760B4A" w:rsidRPr="009D3E34">
        <w:t xml:space="preserve">national bodies and initiatives such as </w:t>
      </w:r>
      <w:r w:rsidR="00BF0C0F" w:rsidRPr="009D3E34">
        <w:t xml:space="preserve">the </w:t>
      </w:r>
      <w:r w:rsidR="00760B4A" w:rsidRPr="009D3E34">
        <w:t xml:space="preserve">World Business Council for Sustainable Development, </w:t>
      </w:r>
      <w:r w:rsidR="00DE4E36" w:rsidRPr="009D3E34">
        <w:t xml:space="preserve">TCFD, the World Economic Forum, </w:t>
      </w:r>
      <w:r w:rsidR="00760B4A" w:rsidRPr="009D3E34">
        <w:t xml:space="preserve">the UN Global Compact, </w:t>
      </w:r>
      <w:r w:rsidR="00AC57FB" w:rsidRPr="009D3E34">
        <w:t xml:space="preserve">and </w:t>
      </w:r>
      <w:r w:rsidR="00760B4A" w:rsidRPr="009D3E34">
        <w:t xml:space="preserve">the UN Principles for Responsible Investment, </w:t>
      </w:r>
      <w:r w:rsidR="00AC57FB" w:rsidRPr="009D3E34">
        <w:t xml:space="preserve">plus </w:t>
      </w:r>
      <w:r w:rsidR="00760B4A" w:rsidRPr="009D3E34">
        <w:t xml:space="preserve">multinational accounting firms and global professional accountancy bodies. The dataset also draws on </w:t>
      </w:r>
      <w:r w:rsidRPr="009D3E34">
        <w:t xml:space="preserve">observations of proceedings and interactions at a Corporate Reporting Dialogue </w:t>
      </w:r>
      <w:r w:rsidR="00944121" w:rsidRPr="009D3E34">
        <w:t xml:space="preserve">roundtable </w:t>
      </w:r>
      <w:r w:rsidRPr="009D3E34">
        <w:t xml:space="preserve">meeting and </w:t>
      </w:r>
      <w:r w:rsidR="00EA3294" w:rsidRPr="009D3E34">
        <w:t>six</w:t>
      </w:r>
      <w:r w:rsidR="00447020" w:rsidRPr="009D3E34">
        <w:t xml:space="preserve"> </w:t>
      </w:r>
      <w:r w:rsidRPr="009D3E34">
        <w:t xml:space="preserve">webinars </w:t>
      </w:r>
      <w:r w:rsidR="00DA2E01" w:rsidRPr="009D3E34">
        <w:t>hosted by the Corporate Reporting Dialogue or featuring presenters from their member</w:t>
      </w:r>
      <w:r w:rsidR="00424250" w:rsidRPr="009D3E34">
        <w:t xml:space="preserve"> </w:t>
      </w:r>
      <w:r w:rsidR="00D02EA7" w:rsidRPr="009D3E34">
        <w:t>bodies</w:t>
      </w:r>
      <w:r w:rsidR="00DA2E01" w:rsidRPr="009D3E34">
        <w:t xml:space="preserve"> </w:t>
      </w:r>
      <w:r w:rsidRPr="009D3E34">
        <w:t xml:space="preserve">that took place </w:t>
      </w:r>
      <w:r w:rsidR="00DA2E01" w:rsidRPr="009D3E34">
        <w:t>between</w:t>
      </w:r>
      <w:r w:rsidRPr="009D3E34">
        <w:t xml:space="preserve"> 2019</w:t>
      </w:r>
      <w:r w:rsidR="00DA2E01" w:rsidRPr="009D3E34">
        <w:t>-2021</w:t>
      </w:r>
      <w:r w:rsidR="00AB6393" w:rsidRPr="009D3E34">
        <w:t xml:space="preserve"> – observation notes </w:t>
      </w:r>
      <w:r w:rsidR="00DA2E01" w:rsidRPr="009D3E34">
        <w:t xml:space="preserve">were made during the </w:t>
      </w:r>
      <w:proofErr w:type="gramStart"/>
      <w:r w:rsidR="00DA2E01" w:rsidRPr="009D3E34">
        <w:t>events, and</w:t>
      </w:r>
      <w:proofErr w:type="gramEnd"/>
      <w:r w:rsidR="00DA2E01" w:rsidRPr="009D3E34">
        <w:t xml:space="preserve"> </w:t>
      </w:r>
      <w:r w:rsidR="00AB6393" w:rsidRPr="009D3E34">
        <w:t xml:space="preserve">are designated </w:t>
      </w:r>
      <w:r w:rsidR="00DA2E01" w:rsidRPr="009D3E34">
        <w:t>O</w:t>
      </w:r>
      <w:r w:rsidR="00AB6393" w:rsidRPr="009D3E34">
        <w:t>1-</w:t>
      </w:r>
      <w:r w:rsidR="00DA2E01" w:rsidRPr="009D3E34">
        <w:t>O</w:t>
      </w:r>
      <w:r w:rsidR="001E7797" w:rsidRPr="009D3E34">
        <w:t>7</w:t>
      </w:r>
      <w:r w:rsidRPr="009D3E34">
        <w:t>.</w:t>
      </w:r>
    </w:p>
    <w:p w14:paraId="079373F6" w14:textId="77777777" w:rsidR="00447020" w:rsidRPr="009D3E34" w:rsidRDefault="00447020" w:rsidP="002D0F2E">
      <w:pPr>
        <w:pStyle w:val="nikoneindenttext15"/>
      </w:pPr>
    </w:p>
    <w:p w14:paraId="53846797" w14:textId="64D26820" w:rsidR="00D02EA7" w:rsidRPr="009D3E34" w:rsidRDefault="002D0F2E" w:rsidP="002D0F2E">
      <w:pPr>
        <w:pStyle w:val="nikoneindenttext15"/>
      </w:pPr>
      <w:proofErr w:type="gramStart"/>
      <w:r w:rsidRPr="009D3E34">
        <w:t>In order to</w:t>
      </w:r>
      <w:proofErr w:type="gramEnd"/>
      <w:r w:rsidRPr="009D3E34">
        <w:t xml:space="preserve"> systematically interpret the dataset, </w:t>
      </w:r>
      <w:r w:rsidR="0032707C" w:rsidRPr="009D3E34">
        <w:t>t</w:t>
      </w:r>
      <w:r w:rsidRPr="009D3E34">
        <w:t>he first stage of the interview analysis involved listening to the audio recordings</w:t>
      </w:r>
      <w:r w:rsidR="00E378F8" w:rsidRPr="009D3E34">
        <w:t>, examining interview notes</w:t>
      </w:r>
      <w:r w:rsidRPr="009D3E34">
        <w:t xml:space="preserve"> and reading the transcriptions.</w:t>
      </w:r>
      <w:r w:rsidR="00814817" w:rsidRPr="009D3E34">
        <w:t xml:space="preserve"> The </w:t>
      </w:r>
      <w:r w:rsidR="00552E0C" w:rsidRPr="009D3E34">
        <w:t xml:space="preserve">interview </w:t>
      </w:r>
      <w:r w:rsidR="00814817" w:rsidRPr="009D3E34">
        <w:t xml:space="preserve">coding process and </w:t>
      </w:r>
      <w:r w:rsidR="00552E0C" w:rsidRPr="009D3E34">
        <w:t xml:space="preserve">the </w:t>
      </w:r>
      <w:r w:rsidR="001E7797" w:rsidRPr="009D3E34">
        <w:t>drafting</w:t>
      </w:r>
      <w:r w:rsidR="00552E0C" w:rsidRPr="009D3E34">
        <w:t xml:space="preserve"> of</w:t>
      </w:r>
      <w:r w:rsidR="00814817" w:rsidRPr="009D3E34">
        <w:t xml:space="preserve"> analytic memos were then used to separate and sort the dataset, and </w:t>
      </w:r>
      <w:r w:rsidR="0070673F" w:rsidRPr="009D3E34">
        <w:t xml:space="preserve">inductively </w:t>
      </w:r>
      <w:r w:rsidR="00814817" w:rsidRPr="009D3E34">
        <w:t xml:space="preserve">allow specific themes to emerge. </w:t>
      </w:r>
      <w:r w:rsidR="009E5814" w:rsidRPr="009D3E34">
        <w:t xml:space="preserve">Initial </w:t>
      </w:r>
      <w:r w:rsidR="00DB1472" w:rsidRPr="009D3E34">
        <w:t xml:space="preserve">higher-level, holistic first cycle coding </w:t>
      </w:r>
      <w:r w:rsidR="009E5814" w:rsidRPr="009D3E34">
        <w:t xml:space="preserve">was </w:t>
      </w:r>
      <w:r w:rsidR="00DB1472" w:rsidRPr="009D3E34">
        <w:t xml:space="preserve">based on descriptions, </w:t>
      </w:r>
      <w:proofErr w:type="gramStart"/>
      <w:r w:rsidR="00DB1472" w:rsidRPr="009D3E34">
        <w:t>events</w:t>
      </w:r>
      <w:proofErr w:type="gramEnd"/>
      <w:r w:rsidR="00DB1472" w:rsidRPr="009D3E34">
        <w:t xml:space="preserve"> and actions whilst structural </w:t>
      </w:r>
      <w:r w:rsidR="00DB1472" w:rsidRPr="009D3E34">
        <w:lastRenderedPageBreak/>
        <w:t xml:space="preserve">coding sought to identify common </w:t>
      </w:r>
      <w:r w:rsidR="009E5814" w:rsidRPr="009D3E34">
        <w:t>patterns</w:t>
      </w:r>
      <w:r w:rsidR="00DB1472" w:rsidRPr="009D3E34">
        <w:t xml:space="preserve"> and concepts that were identified within the dataset (</w:t>
      </w:r>
      <w:proofErr w:type="spellStart"/>
      <w:r w:rsidR="00DB1472" w:rsidRPr="009D3E34">
        <w:t>Gioia</w:t>
      </w:r>
      <w:proofErr w:type="spellEnd"/>
      <w:r w:rsidR="00DB1472" w:rsidRPr="009D3E34">
        <w:t xml:space="preserve"> et al., 2012; </w:t>
      </w:r>
      <w:proofErr w:type="spellStart"/>
      <w:r w:rsidR="00DB1472" w:rsidRPr="009D3E34">
        <w:t>Saldaña</w:t>
      </w:r>
      <w:proofErr w:type="spellEnd"/>
      <w:r w:rsidR="00DB1472" w:rsidRPr="009D3E34">
        <w:t xml:space="preserve">, 2016). The next stage sought to </w:t>
      </w:r>
      <w:r w:rsidR="00C008C6" w:rsidRPr="009D3E34">
        <w:t xml:space="preserve">consider </w:t>
      </w:r>
      <w:r w:rsidR="00A8672A" w:rsidRPr="009D3E34">
        <w:t xml:space="preserve">the </w:t>
      </w:r>
      <w:r w:rsidR="00C008C6" w:rsidRPr="009D3E34">
        <w:t xml:space="preserve">analytic </w:t>
      </w:r>
      <w:proofErr w:type="gramStart"/>
      <w:r w:rsidR="00C008C6" w:rsidRPr="009D3E34">
        <w:t>memos, and</w:t>
      </w:r>
      <w:proofErr w:type="gramEnd"/>
      <w:r w:rsidR="00C008C6" w:rsidRPr="009D3E34">
        <w:t xml:space="preserve"> </w:t>
      </w:r>
      <w:r w:rsidR="00DB1472" w:rsidRPr="009D3E34">
        <w:t xml:space="preserve">evaluate and group together codes to develop a smaller number of detailed themes </w:t>
      </w:r>
      <w:r w:rsidR="0080090E" w:rsidRPr="009D3E34">
        <w:t>and consider their</w:t>
      </w:r>
      <w:r w:rsidR="00DB1472" w:rsidRPr="009D3E34">
        <w:t xml:space="preserve"> theoretical </w:t>
      </w:r>
      <w:r w:rsidR="0070673F" w:rsidRPr="009D3E34">
        <w:t>conceptualisation</w:t>
      </w:r>
      <w:r w:rsidR="00DB1472" w:rsidRPr="009D3E34">
        <w:t xml:space="preserve"> – this stage involved an iterative process of reflection and ongoing refinement during the development of the manuscript. </w:t>
      </w:r>
      <w:r w:rsidR="008F2D21" w:rsidRPr="009D3E34">
        <w:t xml:space="preserve">For example, the coding of accounts of the </w:t>
      </w:r>
      <w:r w:rsidR="002C5F54" w:rsidRPr="009D3E34">
        <w:t xml:space="preserve">convening </w:t>
      </w:r>
      <w:r w:rsidR="008F2D21" w:rsidRPr="009D3E34">
        <w:t xml:space="preserve">role of the IIRC </w:t>
      </w:r>
      <w:r w:rsidR="002C5F54" w:rsidRPr="009D3E34">
        <w:t>was</w:t>
      </w:r>
      <w:r w:rsidR="008F2D21" w:rsidRPr="009D3E34">
        <w:t xml:space="preserve"> related to orchestration, whilst Dialogue membership choices were related to meta-organising. </w:t>
      </w:r>
      <w:r w:rsidR="00DB1472" w:rsidRPr="009D3E34">
        <w:t xml:space="preserve">During this stage, </w:t>
      </w:r>
      <w:r w:rsidR="00760B4A" w:rsidRPr="009D3E34">
        <w:t xml:space="preserve">attempts were made to </w:t>
      </w:r>
      <w:r w:rsidR="00DB1472" w:rsidRPr="009D3E34">
        <w:t xml:space="preserve">identify alternative or contradicting views and observations, and relationships between themes. The interrelated development of the theoretical framing and empirical themes then dictated the narrative structure of the analysis and the selection of quotes </w:t>
      </w:r>
      <w:r w:rsidR="008F5EF8" w:rsidRPr="009D3E34">
        <w:t>exemplifying the different themes</w:t>
      </w:r>
      <w:r w:rsidR="00DB1472" w:rsidRPr="009D3E34">
        <w:t xml:space="preserve"> (</w:t>
      </w:r>
      <w:proofErr w:type="spellStart"/>
      <w:r w:rsidR="00DB1472" w:rsidRPr="009D3E34">
        <w:t>Gioia</w:t>
      </w:r>
      <w:proofErr w:type="spellEnd"/>
      <w:r w:rsidR="00DB1472" w:rsidRPr="009D3E34">
        <w:t xml:space="preserve"> et al., 2012).</w:t>
      </w:r>
      <w:r w:rsidR="004D7886" w:rsidRPr="009D3E34">
        <w:t xml:space="preserve"> </w:t>
      </w:r>
      <w:r w:rsidR="00761D74" w:rsidRPr="009D3E34">
        <w:t xml:space="preserve">The narrative is then presented chronologically </w:t>
      </w:r>
      <w:proofErr w:type="gramStart"/>
      <w:r w:rsidR="004D7886" w:rsidRPr="009D3E34">
        <w:t>in order to</w:t>
      </w:r>
      <w:proofErr w:type="gramEnd"/>
      <w:r w:rsidR="004D7886" w:rsidRPr="009D3E34">
        <w:t xml:space="preserve"> capture the developing nature of the Corporate Reporting Dialogue and the </w:t>
      </w:r>
      <w:r w:rsidR="00EB3BDD" w:rsidRPr="009D3E34">
        <w:t>process</w:t>
      </w:r>
      <w:r w:rsidR="004D7886" w:rsidRPr="009D3E34">
        <w:t xml:space="preserve"> of change in sustainability reporting</w:t>
      </w:r>
      <w:r w:rsidR="00EB3BDD" w:rsidRPr="009D3E34">
        <w:t xml:space="preserve"> (</w:t>
      </w:r>
      <w:r w:rsidR="004D7886" w:rsidRPr="009D3E34">
        <w:t>Langley</w:t>
      </w:r>
      <w:r w:rsidR="00EB3BDD" w:rsidRPr="009D3E34">
        <w:t>, 1999).</w:t>
      </w:r>
    </w:p>
    <w:p w14:paraId="396CC7F8" w14:textId="77777777" w:rsidR="00761D74" w:rsidRPr="009D3E34" w:rsidRDefault="00761D74" w:rsidP="002D0F2E">
      <w:pPr>
        <w:pStyle w:val="nikoneindenttext15"/>
      </w:pPr>
    </w:p>
    <w:p w14:paraId="709AEC29" w14:textId="58F1E233" w:rsidR="00552E0C" w:rsidRPr="009D3E34" w:rsidRDefault="00D02EA7" w:rsidP="002D0F2E">
      <w:pPr>
        <w:pStyle w:val="nikoneindenttext15"/>
      </w:pPr>
      <w:r w:rsidRPr="009D3E34">
        <w:t xml:space="preserve">The documentary evidence was </w:t>
      </w:r>
      <w:r w:rsidR="008F2D21" w:rsidRPr="009D3E34">
        <w:t xml:space="preserve">also </w:t>
      </w:r>
      <w:r w:rsidRPr="009D3E34">
        <w:t xml:space="preserve">used </w:t>
      </w:r>
      <w:r w:rsidR="008F2D21" w:rsidRPr="009D3E34">
        <w:t xml:space="preserve">to identify historical events and key issues </w:t>
      </w:r>
      <w:r w:rsidRPr="009D3E34">
        <w:t xml:space="preserve">whilst </w:t>
      </w:r>
      <w:r w:rsidR="009F0604" w:rsidRPr="009D3E34">
        <w:t>triangulating</w:t>
      </w:r>
      <w:r w:rsidRPr="009D3E34">
        <w:t xml:space="preserve"> facts and events discussed in the interviews</w:t>
      </w:r>
      <w:r w:rsidR="008F2D21" w:rsidRPr="009D3E34">
        <w:t xml:space="preserve"> to help develop the themes</w:t>
      </w:r>
      <w:r w:rsidRPr="009D3E34">
        <w:t xml:space="preserve">. Observation notes were used to identify current and emerging </w:t>
      </w:r>
      <w:r w:rsidR="008F2D21" w:rsidRPr="009D3E34">
        <w:t>issues</w:t>
      </w:r>
      <w:r w:rsidRPr="009D3E34">
        <w:t xml:space="preserve">, and the interaction between actors representing different standardisers. </w:t>
      </w:r>
      <w:r w:rsidR="00552E0C" w:rsidRPr="009D3E34">
        <w:t>The interview evidence</w:t>
      </w:r>
      <w:r w:rsidRPr="009D3E34">
        <w:t>,</w:t>
      </w:r>
      <w:r w:rsidR="00552E0C" w:rsidRPr="009D3E34">
        <w:t xml:space="preserve"> presented alongside evidence from documentary </w:t>
      </w:r>
      <w:r w:rsidR="009E5814" w:rsidRPr="009D3E34">
        <w:t xml:space="preserve">analysis </w:t>
      </w:r>
      <w:r w:rsidRPr="009D3E34">
        <w:t xml:space="preserve">and observation notes, </w:t>
      </w:r>
      <w:r w:rsidR="009E5814" w:rsidRPr="009D3E34">
        <w:t xml:space="preserve">is </w:t>
      </w:r>
      <w:r w:rsidR="00552E0C" w:rsidRPr="009D3E34">
        <w:t xml:space="preserve">disclosed in the next </w:t>
      </w:r>
      <w:r w:rsidR="00BF0C0F" w:rsidRPr="009D3E34">
        <w:t>f</w:t>
      </w:r>
      <w:r w:rsidR="00560CC3" w:rsidRPr="009D3E34">
        <w:t>ive</w:t>
      </w:r>
      <w:r w:rsidR="00FC3CCA" w:rsidRPr="009D3E34">
        <w:t>-</w:t>
      </w:r>
      <w:r w:rsidR="00424250" w:rsidRPr="009D3E34">
        <w:t xml:space="preserve">part </w:t>
      </w:r>
      <w:r w:rsidR="00552E0C" w:rsidRPr="009D3E34">
        <w:t xml:space="preserve">section </w:t>
      </w:r>
      <w:r w:rsidR="00424250" w:rsidRPr="009D3E34">
        <w:t xml:space="preserve">of the paper </w:t>
      </w:r>
      <w:r w:rsidR="00552E0C" w:rsidRPr="009D3E34">
        <w:t>that consider</w:t>
      </w:r>
      <w:r w:rsidR="00424250" w:rsidRPr="009D3E34">
        <w:t>s</w:t>
      </w:r>
      <w:r w:rsidR="00552E0C" w:rsidRPr="009D3E34">
        <w:t xml:space="preserve"> how the Corporate Reporting Dialogue evolved over time.</w:t>
      </w:r>
    </w:p>
    <w:p w14:paraId="4546222F" w14:textId="77777777" w:rsidR="0012099F" w:rsidRPr="009D3E34" w:rsidRDefault="0012099F" w:rsidP="00B93785">
      <w:pPr>
        <w:pStyle w:val="niktext15"/>
      </w:pPr>
    </w:p>
    <w:p w14:paraId="7896D27B" w14:textId="2FF2D634" w:rsidR="0050673D" w:rsidRPr="009D3E34" w:rsidRDefault="006637EF" w:rsidP="00E0093B">
      <w:pPr>
        <w:pStyle w:val="Heading1"/>
      </w:pPr>
      <w:r w:rsidRPr="009D3E34">
        <w:t xml:space="preserve">4. </w:t>
      </w:r>
      <w:r w:rsidR="006C5449" w:rsidRPr="009D3E34">
        <w:t>Analysis</w:t>
      </w:r>
    </w:p>
    <w:p w14:paraId="12105C4A" w14:textId="71709E10" w:rsidR="006C5449" w:rsidRPr="009D3E34" w:rsidRDefault="006C5449" w:rsidP="006C5449">
      <w:pPr>
        <w:pStyle w:val="nikoneindenttext15"/>
      </w:pPr>
      <w:r w:rsidRPr="009D3E34">
        <w:t>In the following subsections</w:t>
      </w:r>
      <w:r w:rsidR="00816AA0" w:rsidRPr="009D3E34">
        <w:t xml:space="preserve">, </w:t>
      </w:r>
      <w:r w:rsidR="00DB56E4" w:rsidRPr="009D3E34">
        <w:t>the dataset is used</w:t>
      </w:r>
      <w:r w:rsidR="00816AA0" w:rsidRPr="009D3E34">
        <w:t xml:space="preserve"> to analyse the </w:t>
      </w:r>
      <w:r w:rsidR="00110DAC" w:rsidRPr="009D3E34">
        <w:t xml:space="preserve">role of the </w:t>
      </w:r>
      <w:r w:rsidR="00816AA0" w:rsidRPr="009D3E34">
        <w:t xml:space="preserve">Corporate Reporting Dialogue </w:t>
      </w:r>
      <w:r w:rsidR="00110DAC" w:rsidRPr="009D3E34">
        <w:t xml:space="preserve">in </w:t>
      </w:r>
      <w:r w:rsidR="0012134B" w:rsidRPr="009D3E34">
        <w:t>the standardisation of sustainability reporting</w:t>
      </w:r>
      <w:r w:rsidR="00816AA0" w:rsidRPr="009D3E34">
        <w:t xml:space="preserve">. </w:t>
      </w:r>
      <w:r w:rsidR="00DB56E4" w:rsidRPr="009D3E34">
        <w:t>S</w:t>
      </w:r>
      <w:r w:rsidR="00055D45" w:rsidRPr="009D3E34">
        <w:t xml:space="preserve">ubsection 4.1 </w:t>
      </w:r>
      <w:r w:rsidR="006E19C9" w:rsidRPr="009D3E34">
        <w:t xml:space="preserve">examines how covert power is </w:t>
      </w:r>
      <w:r w:rsidR="00EA3294" w:rsidRPr="009D3E34">
        <w:t>exercised</w:t>
      </w:r>
      <w:r w:rsidR="006E19C9" w:rsidRPr="009D3E34">
        <w:t xml:space="preserve"> by analysing</w:t>
      </w:r>
      <w:r w:rsidR="00055D45" w:rsidRPr="009D3E34">
        <w:t xml:space="preserve"> </w:t>
      </w:r>
      <w:r w:rsidR="00AF6E0A" w:rsidRPr="009D3E34">
        <w:t>how the IIRC orchestrated the Corporate Reporting Dialogue and draws on conceptions of meta-organising to examine its membership choices to understand who influence</w:t>
      </w:r>
      <w:r w:rsidR="00560CC3" w:rsidRPr="009D3E34">
        <w:t>d</w:t>
      </w:r>
      <w:r w:rsidR="00AF6E0A" w:rsidRPr="009D3E34">
        <w:t xml:space="preserve"> participation in the Dialogue</w:t>
      </w:r>
      <w:r w:rsidR="005B7CD8" w:rsidRPr="009D3E34">
        <w:t xml:space="preserve">. </w:t>
      </w:r>
      <w:r w:rsidR="00335A8D" w:rsidRPr="009D3E34">
        <w:t xml:space="preserve">Subsection 4.2 explores how </w:t>
      </w:r>
      <w:r w:rsidR="006602D3" w:rsidRPr="009D3E34">
        <w:t xml:space="preserve">consensus-building was limited by </w:t>
      </w:r>
      <w:r w:rsidR="00335A8D" w:rsidRPr="009D3E34">
        <w:t xml:space="preserve">the </w:t>
      </w:r>
      <w:r w:rsidR="006602D3" w:rsidRPr="009D3E34">
        <w:t>differing interests of Dialogue members that influenced their contributions to Dialogue activity</w:t>
      </w:r>
      <w:r w:rsidR="00DE4E36" w:rsidRPr="009D3E34">
        <w:t>,</w:t>
      </w:r>
      <w:r w:rsidR="006602D3" w:rsidRPr="009D3E34">
        <w:t xml:space="preserve"> thereby exposing the limits of gaining a consensu</w:t>
      </w:r>
      <w:r w:rsidR="00DE4E36" w:rsidRPr="009D3E34">
        <w:t>al</w:t>
      </w:r>
      <w:r w:rsidR="006602D3" w:rsidRPr="009D3E34">
        <w:t xml:space="preserve"> position</w:t>
      </w:r>
      <w:r w:rsidR="006E19C9" w:rsidRPr="009D3E34">
        <w:t xml:space="preserve">. </w:t>
      </w:r>
      <w:r w:rsidR="00DC2C3F" w:rsidRPr="009D3E34">
        <w:t xml:space="preserve">Subsection 4.3 </w:t>
      </w:r>
      <w:r w:rsidR="007B7E3E" w:rsidRPr="009D3E34">
        <w:t xml:space="preserve">reveals how </w:t>
      </w:r>
      <w:r w:rsidR="009D3A78" w:rsidRPr="009D3E34">
        <w:t>powerful actors such as th</w:t>
      </w:r>
      <w:r w:rsidR="007B7E3E" w:rsidRPr="009D3E34">
        <w:t xml:space="preserve">e TCFD and Bloomberg became involved in the Dialogue, and analyses </w:t>
      </w:r>
      <w:r w:rsidR="00560CC3" w:rsidRPr="009D3E34">
        <w:t xml:space="preserve">how </w:t>
      </w:r>
      <w:r w:rsidR="007B7E3E" w:rsidRPr="009D3E34">
        <w:t>the</w:t>
      </w:r>
      <w:r w:rsidR="009D3A78" w:rsidRPr="009D3E34">
        <w:t>y</w:t>
      </w:r>
      <w:r w:rsidR="007B7E3E" w:rsidRPr="009D3E34">
        <w:t xml:space="preserve"> influence</w:t>
      </w:r>
      <w:r w:rsidR="009D3A78" w:rsidRPr="009D3E34">
        <w:t>d</w:t>
      </w:r>
      <w:r w:rsidR="007B7E3E" w:rsidRPr="009D3E34">
        <w:t xml:space="preserve"> standardising activity</w:t>
      </w:r>
      <w:r w:rsidR="009D3A78" w:rsidRPr="009D3E34">
        <w:t xml:space="preserve"> through covert power mechanisms of orchestration and funding</w:t>
      </w:r>
      <w:r w:rsidR="007B7E3E" w:rsidRPr="009D3E34">
        <w:t xml:space="preserve">. </w:t>
      </w:r>
      <w:r w:rsidR="00677890" w:rsidRPr="009D3E34">
        <w:t xml:space="preserve">The final </w:t>
      </w:r>
      <w:r w:rsidR="007B7E3E" w:rsidRPr="009D3E34">
        <w:t>subsection</w:t>
      </w:r>
      <w:r w:rsidR="00677890" w:rsidRPr="009D3E34">
        <w:t>s</w:t>
      </w:r>
      <w:r w:rsidR="007B7E3E" w:rsidRPr="009D3E34">
        <w:t xml:space="preserve"> </w:t>
      </w:r>
      <w:r w:rsidR="009D3A78" w:rsidRPr="009D3E34">
        <w:t xml:space="preserve">examine the latter stages </w:t>
      </w:r>
      <w:r w:rsidR="009D3A78" w:rsidRPr="009D3E34">
        <w:lastRenderedPageBreak/>
        <w:t xml:space="preserve">of the </w:t>
      </w:r>
      <w:proofErr w:type="gramStart"/>
      <w:r w:rsidR="009D3A78" w:rsidRPr="009D3E34">
        <w:t>Dialogue, and</w:t>
      </w:r>
      <w:proofErr w:type="gramEnd"/>
      <w:r w:rsidR="009D3A78" w:rsidRPr="009D3E34">
        <w:t xml:space="preserve"> </w:t>
      </w:r>
      <w:r w:rsidR="00657F1A" w:rsidRPr="009D3E34">
        <w:t>explore</w:t>
      </w:r>
      <w:r w:rsidR="009D3A78" w:rsidRPr="009D3E34">
        <w:t xml:space="preserve"> how the Dialogue influenced later initiatives that became </w:t>
      </w:r>
      <w:r w:rsidR="00EA3294" w:rsidRPr="009D3E34">
        <w:t>significant</w:t>
      </w:r>
      <w:r w:rsidR="009D3A78" w:rsidRPr="009D3E34">
        <w:t xml:space="preserve"> in forming the blueprint adopted by the International Sustainability Standards Board</w:t>
      </w:r>
      <w:r w:rsidR="003E6280" w:rsidRPr="009D3E34">
        <w:t>.</w:t>
      </w:r>
    </w:p>
    <w:p w14:paraId="37C70F65" w14:textId="77777777" w:rsidR="00AB3247" w:rsidRPr="009D3E34" w:rsidRDefault="00AB3247" w:rsidP="006C5449">
      <w:pPr>
        <w:pStyle w:val="nikoneindenttext15"/>
      </w:pPr>
    </w:p>
    <w:p w14:paraId="7DE05177" w14:textId="11745CF4" w:rsidR="006C5449" w:rsidRPr="009D3E34" w:rsidRDefault="006C5449" w:rsidP="006C5449">
      <w:pPr>
        <w:pStyle w:val="niksemisubtitle"/>
      </w:pPr>
      <w:r w:rsidRPr="009D3E34">
        <w:t xml:space="preserve">4.1. </w:t>
      </w:r>
      <w:r w:rsidR="00DC2C3F" w:rsidRPr="009D3E34">
        <w:t>Orchestrating</w:t>
      </w:r>
      <w:r w:rsidR="006E7638" w:rsidRPr="009D3E34">
        <w:t xml:space="preserve"> the Corporate Reporting Dialogue – Membership Choices</w:t>
      </w:r>
    </w:p>
    <w:p w14:paraId="3BBE8827" w14:textId="3FC6F350" w:rsidR="00906CBB" w:rsidRPr="009D3E34" w:rsidRDefault="006E7638" w:rsidP="00837BAF">
      <w:pPr>
        <w:pStyle w:val="nikoneindenttext15"/>
      </w:pPr>
      <w:r w:rsidRPr="009D3E34">
        <w:t>T</w:t>
      </w:r>
      <w:r w:rsidR="007A5005" w:rsidRPr="009D3E34">
        <w:t>he IIRC</w:t>
      </w:r>
      <w:r w:rsidR="002240EA" w:rsidRPr="009D3E34">
        <w:t xml:space="preserve"> had</w:t>
      </w:r>
      <w:r w:rsidR="007A5005" w:rsidRPr="009D3E34">
        <w:t xml:space="preserve"> specifically identified the variability and lack of standardisation in existing reporting </w:t>
      </w:r>
      <w:r w:rsidR="00F04ECD" w:rsidRPr="009D3E34">
        <w:t>initiatives</w:t>
      </w:r>
      <w:r w:rsidR="007A5005" w:rsidRPr="009D3E34">
        <w:t xml:space="preserve"> </w:t>
      </w:r>
      <w:r w:rsidR="002240EA" w:rsidRPr="009D3E34">
        <w:t>as a motivation to</w:t>
      </w:r>
      <w:r w:rsidR="007A5005" w:rsidRPr="009D3E34">
        <w:t xml:space="preserve"> develop an overarching reporting framework and facilitate convergence to </w:t>
      </w:r>
      <w:r w:rsidR="00F04ECD" w:rsidRPr="009D3E34">
        <w:t>a</w:t>
      </w:r>
      <w:r w:rsidR="007A5005" w:rsidRPr="009D3E34">
        <w:t xml:space="preserve"> consistent, comparable, integrated format to avoid duplication (</w:t>
      </w:r>
      <w:r w:rsidR="00323888" w:rsidRPr="009D3E34">
        <w:t>C1</w:t>
      </w:r>
      <w:r w:rsidR="00847E2F" w:rsidRPr="009D3E34">
        <w:t xml:space="preserve">, </w:t>
      </w:r>
      <w:r w:rsidR="00A04F09" w:rsidRPr="009D3E34">
        <w:t>Accounting for Sustainability, 20</w:t>
      </w:r>
      <w:r w:rsidR="0063333E" w:rsidRPr="009D3E34">
        <w:t>10</w:t>
      </w:r>
      <w:r w:rsidR="00A04F09" w:rsidRPr="009D3E34">
        <w:t xml:space="preserve">; </w:t>
      </w:r>
      <w:r w:rsidR="007A5005" w:rsidRPr="009D3E34">
        <w:t xml:space="preserve">IIRC, 2010). </w:t>
      </w:r>
      <w:r w:rsidR="00903AF0" w:rsidRPr="009D3E34">
        <w:t>They sought to “forge a global consensus on the direction in which reporting needs to evolve” (IIRC, 2011:7) and create the “corporate reporting norm” (IIRC, 2013</w:t>
      </w:r>
      <w:r w:rsidR="00E4339E" w:rsidRPr="009D3E34">
        <w:t>b</w:t>
      </w:r>
      <w:r w:rsidR="00903AF0" w:rsidRPr="009D3E34">
        <w:t>:2).</w:t>
      </w:r>
      <w:r w:rsidR="0067162B" w:rsidRPr="009D3E34">
        <w:t xml:space="preserve"> In doing so however, </w:t>
      </w:r>
      <w:r w:rsidR="00903AF0" w:rsidRPr="009D3E34">
        <w:t>t</w:t>
      </w:r>
      <w:r w:rsidR="00BA633B" w:rsidRPr="009D3E34">
        <w:t xml:space="preserve">he IIRC faced a dilemma: </w:t>
      </w:r>
      <w:r w:rsidR="00E87847" w:rsidRPr="009D3E34">
        <w:t xml:space="preserve">during its development, </w:t>
      </w:r>
      <w:r w:rsidR="00BA633B" w:rsidRPr="009D3E34">
        <w:t>they had explicitly positioned &lt;IR&gt; as being distinct from existing corporate reporting frameworks.</w:t>
      </w:r>
      <w:r w:rsidR="00E87847" w:rsidRPr="009D3E34">
        <w:t xml:space="preserve"> </w:t>
      </w:r>
      <w:r w:rsidR="003E6280" w:rsidRPr="009D3E34">
        <w:t>However</w:t>
      </w:r>
      <w:r w:rsidR="00E87847" w:rsidRPr="009D3E34">
        <w:t xml:space="preserve">, like other standardisers, they faced pressure to demonstrate how their &lt;IR&gt; framework linked with other </w:t>
      </w:r>
      <w:r w:rsidR="00847E2F" w:rsidRPr="009D3E34">
        <w:t>standards</w:t>
      </w:r>
      <w:r w:rsidR="00C962A6" w:rsidRPr="009D3E34">
        <w:t xml:space="preserve"> (Rowbottom &amp; Locke, 2016)</w:t>
      </w:r>
      <w:r w:rsidR="00E87847" w:rsidRPr="009D3E34">
        <w:t>.</w:t>
      </w:r>
      <w:r w:rsidR="003956DA" w:rsidRPr="009D3E34">
        <w:t xml:space="preserve"> </w:t>
      </w:r>
      <w:r w:rsidR="00906CBB" w:rsidRPr="009D3E34">
        <w:t>As Humphrey et al. (2017:49) note, “the core aim was to construct a stable and solid network of support around collective claims to expertise in the integrated reporting space”.</w:t>
      </w:r>
    </w:p>
    <w:p w14:paraId="32D2DEA8" w14:textId="4E71112A" w:rsidR="00D47848" w:rsidRPr="009D3E34" w:rsidRDefault="003956DA" w:rsidP="00837BAF">
      <w:pPr>
        <w:pStyle w:val="nikoneindenttext15"/>
      </w:pPr>
      <w:r w:rsidRPr="009D3E34">
        <w:t xml:space="preserve">By 2013, the IIRC expressed an </w:t>
      </w:r>
      <w:r w:rsidR="009206EF" w:rsidRPr="009D3E34">
        <w:t xml:space="preserve">intention to “work collaboratively with other reporting initiatives, </w:t>
      </w:r>
      <w:proofErr w:type="gramStart"/>
      <w:r w:rsidR="009206EF" w:rsidRPr="009D3E34">
        <w:t>frameworks</w:t>
      </w:r>
      <w:proofErr w:type="gramEnd"/>
      <w:r w:rsidR="009206EF" w:rsidRPr="009D3E34">
        <w:t xml:space="preserve"> and innovations</w:t>
      </w:r>
      <w:r w:rsidR="00EF5196" w:rsidRPr="009D3E34">
        <w:t xml:space="preserve">… </w:t>
      </w:r>
      <w:r w:rsidR="009206EF" w:rsidRPr="009D3E34">
        <w:t>to provide greater clarity to the market and achieve greater momentum towards the adoption of Integrated Reporting” (IIRC 2013</w:t>
      </w:r>
      <w:r w:rsidR="00E4339E" w:rsidRPr="009D3E34">
        <w:t>a</w:t>
      </w:r>
      <w:r w:rsidR="009206EF" w:rsidRPr="009D3E34">
        <w:t>:1).</w:t>
      </w:r>
      <w:r w:rsidR="00F37532" w:rsidRPr="009D3E34">
        <w:t xml:space="preserve"> </w:t>
      </w:r>
      <w:r w:rsidR="00F75C8D" w:rsidRPr="009D3E34">
        <w:t>As phrased by one interviewee,</w:t>
      </w:r>
    </w:p>
    <w:p w14:paraId="7730A2D8" w14:textId="24BE6ABB" w:rsidR="00D552E7" w:rsidRPr="009D3E34" w:rsidRDefault="00D552E7" w:rsidP="0083191D">
      <w:pPr>
        <w:pStyle w:val="nikoneindenttext15"/>
        <w:spacing w:line="240" w:lineRule="auto"/>
      </w:pPr>
      <w:r w:rsidRPr="009D3E34">
        <w:t>“, okay, now we have the framework of IIRC, how do we advance this discussion with all the standard-setters in the space.” (</w:t>
      </w:r>
      <w:r w:rsidR="00323888" w:rsidRPr="009D3E34">
        <w:t>C4</w:t>
      </w:r>
      <w:r w:rsidRPr="009D3E34">
        <w:t xml:space="preserve">) </w:t>
      </w:r>
    </w:p>
    <w:p w14:paraId="721FA42A" w14:textId="77777777" w:rsidR="00D552E7" w:rsidRPr="009D3E34" w:rsidRDefault="00D552E7" w:rsidP="0024667E">
      <w:pPr>
        <w:pStyle w:val="nikoneindenttext15"/>
      </w:pPr>
    </w:p>
    <w:p w14:paraId="0A1FDE67" w14:textId="62AC4E93" w:rsidR="00ED48A6" w:rsidRPr="009D3E34" w:rsidRDefault="0067162B" w:rsidP="000539D0">
      <w:pPr>
        <w:pStyle w:val="nikoneindenttext15"/>
      </w:pPr>
      <w:r w:rsidRPr="009D3E34">
        <w:t xml:space="preserve">As </w:t>
      </w:r>
      <w:r w:rsidR="00903AF0" w:rsidRPr="009D3E34">
        <w:t>Humphrey et al. (2017) document</w:t>
      </w:r>
      <w:r w:rsidRPr="009D3E34">
        <w:t xml:space="preserve">, </w:t>
      </w:r>
      <w:r w:rsidR="00903AF0" w:rsidRPr="009D3E34">
        <w:t>the IIRC sought to consolidate their vision of reporting through M</w:t>
      </w:r>
      <w:r w:rsidR="00A72468" w:rsidRPr="009D3E34">
        <w:t xml:space="preserve">emoranda </w:t>
      </w:r>
      <w:r w:rsidR="00903AF0" w:rsidRPr="009D3E34">
        <w:t>o</w:t>
      </w:r>
      <w:r w:rsidR="00A72468" w:rsidRPr="009D3E34">
        <w:t xml:space="preserve">f </w:t>
      </w:r>
      <w:r w:rsidR="00903AF0" w:rsidRPr="009D3E34">
        <w:t>U</w:t>
      </w:r>
      <w:r w:rsidR="00A72468" w:rsidRPr="009D3E34">
        <w:t>nderstandings</w:t>
      </w:r>
      <w:r w:rsidR="00903AF0" w:rsidRPr="009D3E34">
        <w:t xml:space="preserve">, </w:t>
      </w:r>
      <w:proofErr w:type="gramStart"/>
      <w:r w:rsidR="00903AF0" w:rsidRPr="009D3E34">
        <w:t>interlinkages</w:t>
      </w:r>
      <w:proofErr w:type="gramEnd"/>
      <w:r w:rsidR="00903AF0" w:rsidRPr="009D3E34">
        <w:t xml:space="preserve"> and cross-representation</w:t>
      </w:r>
      <w:r w:rsidR="0028605B" w:rsidRPr="009D3E34">
        <w:t xml:space="preserve"> with specific standardisers</w:t>
      </w:r>
      <w:r w:rsidR="00903AF0" w:rsidRPr="009D3E34">
        <w:t xml:space="preserve">, whilst downplaying the </w:t>
      </w:r>
      <w:r w:rsidR="0028605B" w:rsidRPr="009D3E34">
        <w:t xml:space="preserve">ideological </w:t>
      </w:r>
      <w:r w:rsidR="00903AF0" w:rsidRPr="009D3E34">
        <w:t>differences between the IIRC and other</w:t>
      </w:r>
      <w:r w:rsidR="0028605B" w:rsidRPr="009D3E34">
        <w:t xml:space="preserve">s. </w:t>
      </w:r>
      <w:r w:rsidR="000F3D28" w:rsidRPr="009D3E34">
        <w:t>By 2014, t</w:t>
      </w:r>
      <w:r w:rsidR="00F04ECD" w:rsidRPr="009D3E34">
        <w:t>he</w:t>
      </w:r>
      <w:r w:rsidR="000F3D28" w:rsidRPr="009D3E34">
        <w:t xml:space="preserve"> IIRC</w:t>
      </w:r>
      <w:r w:rsidR="00F04ECD" w:rsidRPr="009D3E34">
        <w:t xml:space="preserve"> sought to </w:t>
      </w:r>
      <w:r w:rsidR="0028605B" w:rsidRPr="009D3E34">
        <w:t xml:space="preserve">collectively </w:t>
      </w:r>
      <w:r w:rsidR="00F04ECD" w:rsidRPr="009D3E34">
        <w:t xml:space="preserve">engage other standardisers </w:t>
      </w:r>
      <w:r w:rsidR="0028605B" w:rsidRPr="009D3E34">
        <w:t xml:space="preserve">by </w:t>
      </w:r>
      <w:r w:rsidR="00F939CE" w:rsidRPr="009D3E34">
        <w:t>orchestrati</w:t>
      </w:r>
      <w:r w:rsidR="00E84EC0" w:rsidRPr="009D3E34">
        <w:t>ng</w:t>
      </w:r>
      <w:r w:rsidR="00F04ECD" w:rsidRPr="009D3E34">
        <w:t xml:space="preserve"> </w:t>
      </w:r>
      <w:r w:rsidR="0028605B" w:rsidRPr="009D3E34">
        <w:t xml:space="preserve">a formal body </w:t>
      </w:r>
      <w:r w:rsidR="003A4568" w:rsidRPr="009D3E34">
        <w:t>that could act as a vehicle for collaboration and alignment</w:t>
      </w:r>
      <w:r w:rsidR="009305EA" w:rsidRPr="009D3E34">
        <w:t>.</w:t>
      </w:r>
      <w:r w:rsidR="003A4568" w:rsidRPr="009D3E34">
        <w:t xml:space="preserve"> </w:t>
      </w:r>
      <w:r w:rsidR="00F04ECD" w:rsidRPr="009D3E34">
        <w:t>T</w:t>
      </w:r>
      <w:r w:rsidR="000539D0" w:rsidRPr="009D3E34">
        <w:t>he Corporate Reporting Dialogue</w:t>
      </w:r>
      <w:r w:rsidR="00F04ECD" w:rsidRPr="009D3E34">
        <w:t xml:space="preserve"> was</w:t>
      </w:r>
      <w:r w:rsidR="000539D0" w:rsidRPr="009D3E34">
        <w:t xml:space="preserve"> </w:t>
      </w:r>
      <w:r w:rsidR="00ED48A6" w:rsidRPr="009D3E34">
        <w:t>convened</w:t>
      </w:r>
      <w:r w:rsidR="000539D0" w:rsidRPr="009D3E34">
        <w:t xml:space="preserve"> by the IIRC</w:t>
      </w:r>
      <w:r w:rsidR="00C11C31" w:rsidRPr="009D3E34">
        <w:t>, compris</w:t>
      </w:r>
      <w:r w:rsidR="006E2D3B" w:rsidRPr="009D3E34">
        <w:t>ing</w:t>
      </w:r>
      <w:r w:rsidR="00C11C31" w:rsidRPr="009D3E34">
        <w:t xml:space="preserve"> eight members (CDP, CDSB, FASB, GRI, IASB, ISO, SASB plus the IIRC)</w:t>
      </w:r>
      <w:r w:rsidR="000539D0" w:rsidRPr="009D3E34">
        <w:t xml:space="preserve"> and officially launched at the </w:t>
      </w:r>
      <w:r w:rsidR="00AF6B7F" w:rsidRPr="009D3E34">
        <w:t xml:space="preserve">International Corporate Governance Network </w:t>
      </w:r>
      <w:r w:rsidR="000539D0" w:rsidRPr="009D3E34">
        <w:t>annual conference in Amsterdam on 17 June 2014</w:t>
      </w:r>
      <w:r w:rsidR="00E44798" w:rsidRPr="009D3E34">
        <w:t>.</w:t>
      </w:r>
      <w:r w:rsidR="007F4315" w:rsidRPr="009D3E34">
        <w:t xml:space="preserve"> Dialogue participants noted that:</w:t>
      </w:r>
    </w:p>
    <w:p w14:paraId="1CC381C3" w14:textId="77777777" w:rsidR="00F83DC4" w:rsidRPr="009D3E34" w:rsidRDefault="00F83DC4" w:rsidP="0083191D">
      <w:pPr>
        <w:pStyle w:val="nikoneindenttext15"/>
        <w:spacing w:line="240" w:lineRule="auto"/>
      </w:pPr>
      <w:r w:rsidRPr="009D3E34">
        <w:lastRenderedPageBreak/>
        <w:t xml:space="preserve">“The IIRC has been the convening body. Initially it was their </w:t>
      </w:r>
      <w:proofErr w:type="gramStart"/>
      <w:r w:rsidRPr="009D3E34">
        <w:t>idea</w:t>
      </w:r>
      <w:proofErr w:type="gramEnd"/>
      <w:r w:rsidRPr="009D3E34">
        <w:t xml:space="preserve"> and it was born out of a sort of feedback that every organisation has received which is that there can only be so many different organisations in this space.” (C2)</w:t>
      </w:r>
    </w:p>
    <w:p w14:paraId="1355DBE7" w14:textId="77777777" w:rsidR="00F83DC4" w:rsidRPr="009D3E34" w:rsidRDefault="00F83DC4" w:rsidP="0024667E">
      <w:pPr>
        <w:pStyle w:val="nikoneindenttext15"/>
      </w:pPr>
    </w:p>
    <w:p w14:paraId="3207EEA9" w14:textId="77777777" w:rsidR="0067162B" w:rsidRPr="009D3E34" w:rsidRDefault="0067162B" w:rsidP="0083191D">
      <w:pPr>
        <w:pStyle w:val="nikoneindenttext15"/>
        <w:spacing w:line="240" w:lineRule="auto"/>
      </w:pPr>
      <w:r w:rsidRPr="009D3E34">
        <w:t xml:space="preserve">“Clearly the IIRC has focused on this and decided that the Corporate Reporting Dialogue is the current vehicle that </w:t>
      </w:r>
      <w:r w:rsidRPr="009D3E34">
        <w:rPr>
          <w:i/>
        </w:rPr>
        <w:t>it will use</w:t>
      </w:r>
      <w:r w:rsidRPr="009D3E34">
        <w:t xml:space="preserve"> for trying to bring about some sort of alignment, or common understanding of what these elements actually are.” (C10 </w:t>
      </w:r>
      <w:r w:rsidRPr="009D3E34">
        <w:rPr>
          <w:i/>
        </w:rPr>
        <w:t>emphasis added</w:t>
      </w:r>
      <w:r w:rsidRPr="009D3E34">
        <w:t>)</w:t>
      </w:r>
    </w:p>
    <w:p w14:paraId="5A6B1BCD" w14:textId="228A63A7" w:rsidR="00ED48A6" w:rsidRPr="009D3E34" w:rsidRDefault="00ED48A6" w:rsidP="000539D0">
      <w:pPr>
        <w:pStyle w:val="nikoneindenttext15"/>
      </w:pPr>
    </w:p>
    <w:p w14:paraId="232F5C8A" w14:textId="681A5097" w:rsidR="00306910" w:rsidRPr="009D3E34" w:rsidRDefault="00306910" w:rsidP="00914B24">
      <w:pPr>
        <w:pStyle w:val="nikoneindenttext15"/>
      </w:pPr>
      <w:r w:rsidRPr="009D3E34">
        <w:t xml:space="preserve">During </w:t>
      </w:r>
      <w:r w:rsidR="00C11C31" w:rsidRPr="009D3E34">
        <w:t>its</w:t>
      </w:r>
      <w:r w:rsidRPr="009D3E34">
        <w:t xml:space="preserve"> inception</w:t>
      </w:r>
      <w:r w:rsidR="00C11C31" w:rsidRPr="009D3E34">
        <w:t>, the Dialogue was initially chaired by Huguette Labelle, Chair of Transparency International and an IIRC board member</w:t>
      </w:r>
      <w:r w:rsidRPr="009D3E34">
        <w:t xml:space="preserve">, </w:t>
      </w:r>
      <w:r w:rsidR="00167F6D" w:rsidRPr="009D3E34">
        <w:t xml:space="preserve">and </w:t>
      </w:r>
      <w:r w:rsidRPr="009D3E34">
        <w:t xml:space="preserve">the secretariat was provided by the IIRC (C1, C4). Although depicted as a collaborative initiative, </w:t>
      </w:r>
      <w:r w:rsidR="00F83DC4" w:rsidRPr="009D3E34">
        <w:t xml:space="preserve">the </w:t>
      </w:r>
      <w:r w:rsidR="00532B92" w:rsidRPr="009D3E34">
        <w:t xml:space="preserve">‘convening’ </w:t>
      </w:r>
      <w:r w:rsidRPr="009D3E34">
        <w:t xml:space="preserve">power resided with </w:t>
      </w:r>
      <w:r w:rsidR="00532B92" w:rsidRPr="009D3E34">
        <w:t>the IIRC, as the</w:t>
      </w:r>
      <w:r w:rsidRPr="009D3E34">
        <w:t xml:space="preserve"> initial orchestrator.</w:t>
      </w:r>
    </w:p>
    <w:p w14:paraId="38F927E3" w14:textId="790A8D2F" w:rsidR="00306910" w:rsidRPr="009D3E34" w:rsidRDefault="00306910" w:rsidP="0083191D">
      <w:pPr>
        <w:pStyle w:val="nikoneindenttext15"/>
        <w:spacing w:line="240" w:lineRule="auto"/>
      </w:pPr>
      <w:r w:rsidRPr="009D3E34">
        <w:t>“I think ‘convened’ was quite a clever word because they didn't want to almost be saying, well we have set it up and it's an IIRC thing and we're trying to rule the world. I think they were very conscious that there were maybe tensions between different aspects and different standard</w:t>
      </w:r>
      <w:r w:rsidR="008B29DD" w:rsidRPr="009D3E34">
        <w:t>-</w:t>
      </w:r>
      <w:r w:rsidRPr="009D3E34">
        <w:t>setters.” (C9)</w:t>
      </w:r>
    </w:p>
    <w:p w14:paraId="65E71800" w14:textId="77777777" w:rsidR="00306910" w:rsidRPr="009D3E34" w:rsidRDefault="00306910" w:rsidP="00D67CBC">
      <w:pPr>
        <w:pStyle w:val="nikoneindenttext15"/>
      </w:pPr>
    </w:p>
    <w:p w14:paraId="7FECEF5A" w14:textId="6A19B6BA" w:rsidR="00670FDE" w:rsidRPr="009D3E34" w:rsidRDefault="00532B92" w:rsidP="00961BB7">
      <w:pPr>
        <w:pStyle w:val="nikoneindenttext15"/>
      </w:pPr>
      <w:r w:rsidRPr="009D3E34">
        <w:t xml:space="preserve">As the orchestrating standardiser, the IIRC retained a key influence over membership choices that dictated </w:t>
      </w:r>
      <w:r w:rsidR="008F3CE3" w:rsidRPr="009D3E34">
        <w:t xml:space="preserve">who </w:t>
      </w:r>
      <w:r w:rsidR="00055D45" w:rsidRPr="009D3E34">
        <w:t xml:space="preserve">was at the </w:t>
      </w:r>
      <w:r w:rsidR="008F3CE3" w:rsidRPr="009D3E34">
        <w:t>‘</w:t>
      </w:r>
      <w:r w:rsidR="00055D45" w:rsidRPr="009D3E34">
        <w:t>table</w:t>
      </w:r>
      <w:r w:rsidR="008F3CE3" w:rsidRPr="009D3E34">
        <w:t>’</w:t>
      </w:r>
      <w:r w:rsidRPr="009D3E34">
        <w:t xml:space="preserve">, </w:t>
      </w:r>
      <w:r w:rsidR="00055D45" w:rsidRPr="009D3E34">
        <w:t>who was absent</w:t>
      </w:r>
      <w:r w:rsidRPr="009D3E34">
        <w:t xml:space="preserve"> and what agenda the Dialogue might pursue</w:t>
      </w:r>
      <w:r w:rsidR="00055D45" w:rsidRPr="009D3E34">
        <w:t>.</w:t>
      </w:r>
    </w:p>
    <w:p w14:paraId="11A2BBA0" w14:textId="404707DA" w:rsidR="00914B24" w:rsidRPr="009D3E34" w:rsidRDefault="00914B24" w:rsidP="0083191D">
      <w:pPr>
        <w:pStyle w:val="nikoneindenttext15"/>
        <w:spacing w:line="240" w:lineRule="auto"/>
      </w:pPr>
      <w:r w:rsidRPr="009D3E34">
        <w:t>“</w:t>
      </w:r>
      <w:r w:rsidR="006D5E30" w:rsidRPr="009D3E34">
        <w:t>W</w:t>
      </w:r>
      <w:r w:rsidRPr="009D3E34">
        <w:t xml:space="preserve">ho decides who’s there? I remember we had some of these discussions at the IIRC. Okay, so we need to have this corporate dialogue. Who do we have at the table, who are the main players? </w:t>
      </w:r>
      <w:proofErr w:type="gramStart"/>
      <w:r w:rsidRPr="009D3E34">
        <w:t>Or,</w:t>
      </w:r>
      <w:proofErr w:type="gramEnd"/>
      <w:r w:rsidRPr="009D3E34">
        <w:t xml:space="preserve"> should we have all players? Do we have just an emergent guy that is setting a standard? It’s difficult and a lot of that is where the real politics comes in</w:t>
      </w:r>
      <w:r w:rsidR="00801BF3" w:rsidRPr="009D3E34">
        <w:t xml:space="preserve">… You feel that if you are not on the </w:t>
      </w:r>
      <w:proofErr w:type="gramStart"/>
      <w:r w:rsidR="00801BF3" w:rsidRPr="009D3E34">
        <w:t>table</w:t>
      </w:r>
      <w:proofErr w:type="gramEnd"/>
      <w:r w:rsidR="00801BF3" w:rsidRPr="009D3E34">
        <w:t xml:space="preserve"> you are part of the menu.</w:t>
      </w:r>
      <w:r w:rsidRPr="009D3E34">
        <w:t>” (</w:t>
      </w:r>
      <w:r w:rsidR="00713423" w:rsidRPr="009D3E34">
        <w:t>C12</w:t>
      </w:r>
      <w:r w:rsidRPr="009D3E34">
        <w:t>)</w:t>
      </w:r>
    </w:p>
    <w:p w14:paraId="7A56DA57" w14:textId="7103263A" w:rsidR="00165B78" w:rsidRPr="009D3E34" w:rsidRDefault="00165B78" w:rsidP="0024667E">
      <w:pPr>
        <w:pStyle w:val="nikoneindenttext15"/>
      </w:pPr>
    </w:p>
    <w:p w14:paraId="0FCE08F5" w14:textId="7F565C72" w:rsidR="00914B24" w:rsidRPr="009D3E34" w:rsidRDefault="000E3EBE" w:rsidP="00914B24">
      <w:pPr>
        <w:pStyle w:val="nikoneindenttext15"/>
      </w:pPr>
      <w:r w:rsidRPr="009D3E34">
        <w:t>I</w:t>
      </w:r>
      <w:r w:rsidR="00914B24" w:rsidRPr="009D3E34">
        <w:t xml:space="preserve">nterviewees describe how the IIRC sought to use the Corporate Reporting Dialogue </w:t>
      </w:r>
      <w:proofErr w:type="gramStart"/>
      <w:r w:rsidR="00914B24" w:rsidRPr="009D3E34">
        <w:t>as a means to</w:t>
      </w:r>
      <w:proofErr w:type="gramEnd"/>
      <w:r w:rsidR="00914B24" w:rsidRPr="009D3E34">
        <w:t xml:space="preserve"> bring in and assimilate the competition. For example, </w:t>
      </w:r>
    </w:p>
    <w:p w14:paraId="6E3A6463" w14:textId="04BD1F83" w:rsidR="00914B24" w:rsidRPr="009D3E34" w:rsidRDefault="00914B24" w:rsidP="0083191D">
      <w:pPr>
        <w:pStyle w:val="nikoneindenttext15"/>
        <w:spacing w:line="240" w:lineRule="auto"/>
      </w:pPr>
      <w:r w:rsidRPr="009D3E34">
        <w:t>“[</w:t>
      </w:r>
      <w:r w:rsidR="0096104C" w:rsidRPr="009D3E34">
        <w:t>T</w:t>
      </w:r>
      <w:r w:rsidRPr="009D3E34">
        <w:t xml:space="preserve">he Dialogue] emerged because of the confusion but also the sense of competition that was created by, but due to, the IIRC’s inception. I know that at the time, GRI already said what IIRC is doing is what we capture so why would we need an IIRC? [The IIRC Chairperson] smartly invited GRI to the table and said </w:t>
      </w:r>
      <w:r w:rsidR="000E3EBE" w:rsidRPr="009D3E34">
        <w:t>‘</w:t>
      </w:r>
      <w:r w:rsidRPr="009D3E34">
        <w:t xml:space="preserve">yes, of course, but </w:t>
      </w:r>
      <w:proofErr w:type="gramStart"/>
      <w:r w:rsidRPr="009D3E34">
        <w:t>you’re</w:t>
      </w:r>
      <w:proofErr w:type="gramEnd"/>
      <w:r w:rsidRPr="009D3E34">
        <w:t xml:space="preserve"> part of reporting</w:t>
      </w:r>
      <w:r w:rsidR="000E3EBE" w:rsidRPr="009D3E34">
        <w:t>’</w:t>
      </w:r>
      <w:r w:rsidRPr="009D3E34">
        <w:t>… There emerged this sense of competition, that one wanted to win over the other and that’s where IIRC decided, let’s convene a meeting, a dialogue…” (</w:t>
      </w:r>
      <w:r w:rsidR="00323888" w:rsidRPr="009D3E34">
        <w:t>C8</w:t>
      </w:r>
      <w:r w:rsidRPr="009D3E34">
        <w:t>)</w:t>
      </w:r>
    </w:p>
    <w:p w14:paraId="6163B055" w14:textId="77777777" w:rsidR="00914B24" w:rsidRPr="009D3E34" w:rsidRDefault="00914B24" w:rsidP="00961BB7">
      <w:pPr>
        <w:pStyle w:val="nikoneindenttext15"/>
      </w:pPr>
    </w:p>
    <w:p w14:paraId="60092280" w14:textId="5558BF6F" w:rsidR="00EB62ED" w:rsidRPr="009D3E34" w:rsidRDefault="00EB62ED" w:rsidP="00961BB7">
      <w:pPr>
        <w:pStyle w:val="nikoneindenttext15"/>
      </w:pPr>
      <w:r w:rsidRPr="009D3E34">
        <w:t>However, interviewees also questioned the motivations of some existing standardisers</w:t>
      </w:r>
      <w:r w:rsidR="00712243" w:rsidRPr="009D3E34">
        <w:t xml:space="preserve"> </w:t>
      </w:r>
      <w:r w:rsidR="003C4C7A" w:rsidRPr="009D3E34">
        <w:t>in</w:t>
      </w:r>
      <w:r w:rsidR="00712243" w:rsidRPr="009D3E34">
        <w:t xml:space="preserve"> join</w:t>
      </w:r>
      <w:r w:rsidR="003C4C7A" w:rsidRPr="009D3E34">
        <w:t>ing</w:t>
      </w:r>
      <w:r w:rsidR="00712243" w:rsidRPr="009D3E34">
        <w:t xml:space="preserve"> the Corporate Reporting Dialogue</w:t>
      </w:r>
      <w:r w:rsidRPr="009D3E34">
        <w:t xml:space="preserve">, </w:t>
      </w:r>
      <w:r w:rsidR="00712243" w:rsidRPr="009D3E34">
        <w:t xml:space="preserve">who had </w:t>
      </w:r>
      <w:r w:rsidRPr="009D3E34">
        <w:t>more resources and power than the IIRC:</w:t>
      </w:r>
    </w:p>
    <w:p w14:paraId="77C692BA" w14:textId="38518DD1" w:rsidR="00EB62ED" w:rsidRPr="009D3E34" w:rsidRDefault="00EB62ED" w:rsidP="0083191D">
      <w:pPr>
        <w:pStyle w:val="nikoneindenttext15"/>
        <w:spacing w:line="240" w:lineRule="auto"/>
      </w:pPr>
      <w:r w:rsidRPr="009D3E34">
        <w:t xml:space="preserve">“The IIRC did seem like having enough personalities at a high level to be able to put some order in the house… I think there might be a struggle and unwillingness from some </w:t>
      </w:r>
      <w:r w:rsidRPr="009D3E34">
        <w:lastRenderedPageBreak/>
        <w:t>standardisation bodies, in particular very large and powerful ones, to say</w:t>
      </w:r>
      <w:r w:rsidR="00712243" w:rsidRPr="009D3E34">
        <w:t>,</w:t>
      </w:r>
      <w:r w:rsidRPr="009D3E34">
        <w:t xml:space="preserve"> “</w:t>
      </w:r>
      <w:r w:rsidR="00712243" w:rsidRPr="009D3E34">
        <w:t>O</w:t>
      </w:r>
      <w:r w:rsidRPr="009D3E34">
        <w:t xml:space="preserve">kay, now we’ll play the game </w:t>
      </w:r>
      <w:r w:rsidR="008F0CE2" w:rsidRPr="009D3E34">
        <w:t>with</w:t>
      </w:r>
      <w:r w:rsidRPr="009D3E34">
        <w:t xml:space="preserve"> these little boys here, this little initiative </w:t>
      </w:r>
      <w:r w:rsidR="00712243" w:rsidRPr="009D3E34">
        <w:t>that is just four or five years</w:t>
      </w:r>
      <w:r w:rsidRPr="009D3E34">
        <w:t>.” (</w:t>
      </w:r>
      <w:r w:rsidR="00713423" w:rsidRPr="009D3E34">
        <w:t>C12</w:t>
      </w:r>
      <w:r w:rsidRPr="009D3E34">
        <w:t>)</w:t>
      </w:r>
    </w:p>
    <w:p w14:paraId="17F7D219" w14:textId="43996777" w:rsidR="00EB62ED" w:rsidRPr="009D3E34" w:rsidRDefault="00EB62ED" w:rsidP="00EB62ED">
      <w:pPr>
        <w:pStyle w:val="nikoneindenttext15"/>
      </w:pPr>
    </w:p>
    <w:p w14:paraId="1E8F1A1D" w14:textId="074F40D6" w:rsidR="00961BB7" w:rsidRPr="009D3E34" w:rsidRDefault="00712243" w:rsidP="00961BB7">
      <w:pPr>
        <w:pStyle w:val="nikoneindenttext15"/>
      </w:pPr>
      <w:r w:rsidRPr="009D3E34">
        <w:t xml:space="preserve">One powerful </w:t>
      </w:r>
      <w:r w:rsidR="00B235CF" w:rsidRPr="009D3E34">
        <w:t>standardiser</w:t>
      </w:r>
      <w:r w:rsidRPr="009D3E34">
        <w:t>, the</w:t>
      </w:r>
      <w:r w:rsidR="00961BB7" w:rsidRPr="009D3E34">
        <w:t xml:space="preserve"> IASB, became part of the Corporate Reporting Dialogue, despite the perception that </w:t>
      </w:r>
      <w:r w:rsidR="00773FDA" w:rsidRPr="009D3E34">
        <w:t>the IASB’s provision of</w:t>
      </w:r>
      <w:r w:rsidR="00961BB7" w:rsidRPr="009D3E34">
        <w:t xml:space="preserve"> Management Commentary </w:t>
      </w:r>
      <w:r w:rsidR="00773FDA" w:rsidRPr="009D3E34">
        <w:t>guidance</w:t>
      </w:r>
      <w:r w:rsidR="00961BB7" w:rsidRPr="009D3E34">
        <w:t xml:space="preserve"> offer</w:t>
      </w:r>
      <w:r w:rsidRPr="009D3E34">
        <w:t>ed</w:t>
      </w:r>
      <w:r w:rsidR="00961BB7" w:rsidRPr="009D3E34">
        <w:t xml:space="preserve"> a rival to the IIRC</w:t>
      </w:r>
      <w:r w:rsidR="00773FDA" w:rsidRPr="009D3E34">
        <w:t xml:space="preserve"> </w:t>
      </w:r>
      <w:r w:rsidR="002E5C2D" w:rsidRPr="009D3E34">
        <w:t>in seeking</w:t>
      </w:r>
      <w:r w:rsidR="00773FDA" w:rsidRPr="009D3E34">
        <w:t xml:space="preserve"> to inform on the risk</w:t>
      </w:r>
      <w:r w:rsidR="007F4315" w:rsidRPr="009D3E34">
        <w:t>s</w:t>
      </w:r>
      <w:r w:rsidR="00773FDA" w:rsidRPr="009D3E34">
        <w:t xml:space="preserve"> and opportunities associated with </w:t>
      </w:r>
      <w:r w:rsidR="00F0313D" w:rsidRPr="009D3E34">
        <w:t xml:space="preserve">corporate </w:t>
      </w:r>
      <w:r w:rsidR="00773FDA" w:rsidRPr="009D3E34">
        <w:t>value creation from the perspective of financial investors</w:t>
      </w:r>
      <w:r w:rsidR="00FC4338" w:rsidRPr="009D3E34">
        <w:t>.</w:t>
      </w:r>
      <w:r w:rsidR="00C421C8" w:rsidRPr="009D3E34">
        <w:t xml:space="preserve"> </w:t>
      </w:r>
      <w:r w:rsidR="008B29DD" w:rsidRPr="009D3E34">
        <w:t xml:space="preserve">By this time, </w:t>
      </w:r>
      <w:r w:rsidR="007F4315" w:rsidRPr="009D3E34">
        <w:t xml:space="preserve">early </w:t>
      </w:r>
      <w:r w:rsidR="008B29DD" w:rsidRPr="009D3E34">
        <w:t>p</w:t>
      </w:r>
      <w:r w:rsidR="00C421C8" w:rsidRPr="009D3E34">
        <w:t xml:space="preserve">ressure was also being </w:t>
      </w:r>
      <w:r w:rsidR="00515073" w:rsidRPr="009D3E34">
        <w:t xml:space="preserve">placed on </w:t>
      </w:r>
      <w:r w:rsidR="00C421C8" w:rsidRPr="009D3E34">
        <w:t xml:space="preserve">the </w:t>
      </w:r>
      <w:r w:rsidR="00DB71CC" w:rsidRPr="009D3E34">
        <w:t xml:space="preserve">IASB’s </w:t>
      </w:r>
      <w:r w:rsidR="00C421C8" w:rsidRPr="009D3E34">
        <w:t xml:space="preserve">governing </w:t>
      </w:r>
      <w:r w:rsidR="00515073" w:rsidRPr="009D3E34">
        <w:t>bo</w:t>
      </w:r>
      <w:r w:rsidR="009E561F" w:rsidRPr="009D3E34">
        <w:t>d</w:t>
      </w:r>
      <w:r w:rsidR="00F75C8D" w:rsidRPr="009D3E34">
        <w:t xml:space="preserve">y </w:t>
      </w:r>
      <w:r w:rsidR="00977BCB" w:rsidRPr="009D3E34">
        <w:t>(</w:t>
      </w:r>
      <w:r w:rsidR="00DB71CC" w:rsidRPr="009D3E34">
        <w:t xml:space="preserve">the </w:t>
      </w:r>
      <w:r w:rsidR="00977BCB" w:rsidRPr="009D3E34">
        <w:t xml:space="preserve">IFRS Foundation Trustees) </w:t>
      </w:r>
      <w:r w:rsidR="009E561F" w:rsidRPr="009D3E34">
        <w:t>to offer specific sustainability reporting standards (IFRS, 2012)</w:t>
      </w:r>
      <w:r w:rsidR="00773FDA" w:rsidRPr="009D3E34">
        <w:t>.</w:t>
      </w:r>
    </w:p>
    <w:p w14:paraId="76F88B1E" w14:textId="56DB0B69" w:rsidR="00961BB7" w:rsidRPr="009D3E34" w:rsidRDefault="00961BB7" w:rsidP="0083191D">
      <w:pPr>
        <w:pStyle w:val="nikoneindenttext15"/>
        <w:spacing w:line="240" w:lineRule="auto"/>
      </w:pPr>
      <w:r w:rsidRPr="009D3E34">
        <w:t xml:space="preserve">“There is, of course, power games and … and I’m aware of some of them. There was a huge power game between, for example, IASB and the IIRC… The [IASB] have much more power in practice… Then, you have </w:t>
      </w:r>
      <w:r w:rsidR="005C65AB" w:rsidRPr="009D3E34">
        <w:t>[the IIRC]</w:t>
      </w:r>
      <w:r w:rsidRPr="009D3E34">
        <w:t xml:space="preserve"> coming and saying, </w:t>
      </w:r>
      <w:proofErr w:type="gramStart"/>
      <w:r w:rsidR="0096104C" w:rsidRPr="009D3E34">
        <w:t>‘</w:t>
      </w:r>
      <w:r w:rsidRPr="009D3E34">
        <w:t>actually, no</w:t>
      </w:r>
      <w:proofErr w:type="gramEnd"/>
      <w:r w:rsidRPr="009D3E34">
        <w:t>, you are just one of the capitals</w:t>
      </w:r>
      <w:r w:rsidR="0096104C" w:rsidRPr="009D3E34">
        <w:t xml:space="preserve">. </w:t>
      </w:r>
      <w:r w:rsidRPr="009D3E34">
        <w:t>You are now subsumed, just like the environment or sustainability, within our umbrella accounting and reporting framework</w:t>
      </w:r>
      <w:r w:rsidR="0096104C" w:rsidRPr="009D3E34">
        <w:t>’</w:t>
      </w:r>
      <w:r w:rsidRPr="009D3E34">
        <w:t>. Yes, I think that generated some tensions” (</w:t>
      </w:r>
      <w:r w:rsidR="00713423" w:rsidRPr="009D3E34">
        <w:t>C12</w:t>
      </w:r>
      <w:r w:rsidRPr="009D3E34">
        <w:t>)</w:t>
      </w:r>
    </w:p>
    <w:p w14:paraId="264A5400" w14:textId="77777777" w:rsidR="00961BB7" w:rsidRPr="009D3E34" w:rsidRDefault="00961BB7" w:rsidP="00002208">
      <w:pPr>
        <w:pStyle w:val="nikoneindenttext15"/>
      </w:pPr>
    </w:p>
    <w:p w14:paraId="5F508837" w14:textId="04AAFD22" w:rsidR="00002208" w:rsidRPr="009D3E34" w:rsidRDefault="007264D6" w:rsidP="00002208">
      <w:pPr>
        <w:pStyle w:val="nikoneindenttext15"/>
      </w:pPr>
      <w:r w:rsidRPr="009D3E34">
        <w:t xml:space="preserve">Whilst the </w:t>
      </w:r>
      <w:r w:rsidR="008075C3" w:rsidRPr="009D3E34">
        <w:t xml:space="preserve">Corporate Reporting Dialogue </w:t>
      </w:r>
      <w:r w:rsidRPr="009D3E34">
        <w:t xml:space="preserve">was comprised of ‘8 principal organisations’, only </w:t>
      </w:r>
      <w:r w:rsidR="00A822F4" w:rsidRPr="009D3E34">
        <w:t>seven</w:t>
      </w:r>
      <w:r w:rsidRPr="009D3E34">
        <w:t xml:space="preserve"> members were </w:t>
      </w:r>
      <w:r w:rsidR="00A822F4" w:rsidRPr="009D3E34">
        <w:t xml:space="preserve">initially </w:t>
      </w:r>
      <w:r w:rsidRPr="009D3E34">
        <w:t xml:space="preserve">active. From its inception, the ISO </w:t>
      </w:r>
      <w:r w:rsidR="00002208" w:rsidRPr="009D3E34">
        <w:t xml:space="preserve">had observer status. The inclusion of the ISO was </w:t>
      </w:r>
      <w:r w:rsidR="0078534E" w:rsidRPr="009D3E34">
        <w:t>depicted</w:t>
      </w:r>
      <w:r w:rsidR="00002208" w:rsidRPr="009D3E34">
        <w:t xml:space="preserve"> as a defensive strategy – one of keeping your friends close, but your </w:t>
      </w:r>
      <w:r w:rsidR="0096104C" w:rsidRPr="009D3E34">
        <w:t>rivals</w:t>
      </w:r>
      <w:r w:rsidR="00002208" w:rsidRPr="009D3E34">
        <w:t xml:space="preserve"> closer.</w:t>
      </w:r>
    </w:p>
    <w:p w14:paraId="3631504C" w14:textId="59ED6F57" w:rsidR="00002208" w:rsidRPr="009D3E34" w:rsidRDefault="00002208" w:rsidP="0083191D">
      <w:pPr>
        <w:pStyle w:val="nikoneindenttext15"/>
        <w:spacing w:line="240" w:lineRule="auto"/>
      </w:pPr>
      <w:r w:rsidRPr="009D3E34">
        <w:t>“Back in [approximately] 2011/12, [ISO] said we’re going to develop a standard on sustainability. That got quite a few people frightened about it at first: ISO, this big organisation</w:t>
      </w:r>
      <w:r w:rsidR="00B235CF" w:rsidRPr="009D3E34">
        <w:t>,</w:t>
      </w:r>
      <w:r w:rsidRPr="009D3E34">
        <w:t xml:space="preserve"> and what does it mean for our position?</w:t>
      </w:r>
      <w:r w:rsidR="00A44542" w:rsidRPr="009D3E34">
        <w:t>...</w:t>
      </w:r>
      <w:r w:rsidRPr="009D3E34">
        <w:t xml:space="preserve"> They tried to get connected and involved and follow that with deeper interest</w:t>
      </w:r>
      <w:r w:rsidR="008075C3" w:rsidRPr="009D3E34">
        <w:t xml:space="preserve"> </w:t>
      </w:r>
      <w:r w:rsidRPr="009D3E34">
        <w:t>because they were just scared that ISO would take over</w:t>
      </w:r>
      <w:r w:rsidR="00A44542" w:rsidRPr="009D3E34">
        <w:t>..</w:t>
      </w:r>
      <w:r w:rsidRPr="009D3E34">
        <w:t>. more as a kind of defence mechanism, I think they chose to involve ISO - better get them to the table than letting them do their own thing as they are so big and global.” (</w:t>
      </w:r>
      <w:r w:rsidR="00323888" w:rsidRPr="009D3E34">
        <w:t>C8</w:t>
      </w:r>
      <w:r w:rsidRPr="009D3E34">
        <w:t>)</w:t>
      </w:r>
    </w:p>
    <w:p w14:paraId="556AF347" w14:textId="77777777" w:rsidR="00002208" w:rsidRPr="009D3E34" w:rsidRDefault="00002208" w:rsidP="007264D6">
      <w:pPr>
        <w:pStyle w:val="nikoneindenttext15"/>
      </w:pPr>
    </w:p>
    <w:p w14:paraId="319771DC" w14:textId="4BEE1939" w:rsidR="0078534E" w:rsidRPr="009D3E34" w:rsidRDefault="007264D6" w:rsidP="0078534E">
      <w:pPr>
        <w:pStyle w:val="nikoneindenttext15"/>
      </w:pPr>
      <w:r w:rsidRPr="009D3E34">
        <w:t xml:space="preserve">Whilst the GRI was a founding member, it </w:t>
      </w:r>
      <w:r w:rsidR="00A822F4" w:rsidRPr="009D3E34">
        <w:t>stood out</w:t>
      </w:r>
      <w:r w:rsidRPr="009D3E34">
        <w:t xml:space="preserve"> as </w:t>
      </w:r>
      <w:r w:rsidR="009E561F" w:rsidRPr="009D3E34">
        <w:t>a</w:t>
      </w:r>
      <w:r w:rsidRPr="009D3E34">
        <w:t xml:space="preserve"> standardiser not committed to standards aimed only </w:t>
      </w:r>
      <w:r w:rsidR="008075C3" w:rsidRPr="009D3E34">
        <w:t xml:space="preserve">at </w:t>
      </w:r>
      <w:r w:rsidRPr="009D3E34">
        <w:t xml:space="preserve">reporting issues considered material to </w:t>
      </w:r>
      <w:r w:rsidR="0096104C" w:rsidRPr="009D3E34">
        <w:t xml:space="preserve">financial </w:t>
      </w:r>
      <w:r w:rsidRPr="009D3E34">
        <w:t>investors</w:t>
      </w:r>
      <w:r w:rsidR="00BF5E32" w:rsidRPr="009D3E34">
        <w:t xml:space="preserve"> </w:t>
      </w:r>
      <w:bookmarkStart w:id="12" w:name="_Hlk88643002"/>
      <w:r w:rsidR="00BF5E32" w:rsidRPr="009D3E34">
        <w:t>(</w:t>
      </w:r>
      <w:r w:rsidR="007F4315" w:rsidRPr="009D3E34">
        <w:t xml:space="preserve">C4, </w:t>
      </w:r>
      <w:r w:rsidR="00193E7D" w:rsidRPr="009D3E34">
        <w:t xml:space="preserve">C5, </w:t>
      </w:r>
      <w:r w:rsidR="00BF5E32" w:rsidRPr="009D3E34">
        <w:t>C7, C8</w:t>
      </w:r>
      <w:r w:rsidR="00586CDD" w:rsidRPr="009D3E34">
        <w:t>, C9</w:t>
      </w:r>
      <w:r w:rsidR="003C4B65" w:rsidRPr="009D3E34">
        <w:t>, S6</w:t>
      </w:r>
      <w:r w:rsidR="00BF5E32" w:rsidRPr="009D3E34">
        <w:t>)</w:t>
      </w:r>
      <w:r w:rsidRPr="009D3E34">
        <w:t>.</w:t>
      </w:r>
      <w:bookmarkEnd w:id="12"/>
      <w:r w:rsidR="007F4315" w:rsidRPr="009D3E34">
        <w:t xml:space="preserve"> </w:t>
      </w:r>
      <w:r w:rsidR="0078534E" w:rsidRPr="009D3E34">
        <w:t>Nevertheless, consistent with meta-organising membership choices discussed in section 2, the Dialogue gained legitimacy from the GRI’s inclusion, whilst the GRI risked losing legitimacy from not being part of initiative, particularly given the low joining costs.</w:t>
      </w:r>
    </w:p>
    <w:p w14:paraId="5C1FBC0C" w14:textId="36DE3FA8" w:rsidR="00670FDE" w:rsidRPr="009D3E34" w:rsidRDefault="00670FDE" w:rsidP="0083191D">
      <w:pPr>
        <w:pStyle w:val="nikoneindenttext15"/>
        <w:spacing w:line="240" w:lineRule="auto"/>
      </w:pPr>
      <w:r w:rsidRPr="009D3E34">
        <w:t>“</w:t>
      </w:r>
      <w:r w:rsidR="00FC4338" w:rsidRPr="009D3E34">
        <w:t>I</w:t>
      </w:r>
      <w:r w:rsidRPr="009D3E34">
        <w:t>f GRI were not part of [the Dialogue]</w:t>
      </w:r>
      <w:r w:rsidR="004003C0" w:rsidRPr="009D3E34">
        <w:t xml:space="preserve"> </w:t>
      </w:r>
      <w:r w:rsidRPr="009D3E34">
        <w:t>it might not be to GRI’s advantage to boycott or to just not participate in a conversation like that. It might do some harm to GRI as well. But I think it would quite obviously limit the value of whatever outputs come from it if GRI wasn’t part of it.” (</w:t>
      </w:r>
      <w:r w:rsidR="00323888" w:rsidRPr="009D3E34">
        <w:t>C3</w:t>
      </w:r>
      <w:r w:rsidRPr="009D3E34">
        <w:t>)</w:t>
      </w:r>
    </w:p>
    <w:p w14:paraId="59FD1457" w14:textId="6C30AE67" w:rsidR="008253FE" w:rsidRPr="009D3E34" w:rsidRDefault="008253FE" w:rsidP="007264D6">
      <w:pPr>
        <w:pStyle w:val="nikoneindenttext15"/>
      </w:pPr>
    </w:p>
    <w:p w14:paraId="2E317074" w14:textId="0CC28D32" w:rsidR="00344DD2" w:rsidRPr="009D3E34" w:rsidRDefault="00002208" w:rsidP="000539D0">
      <w:pPr>
        <w:pStyle w:val="nikoneindenttext15"/>
      </w:pPr>
      <w:proofErr w:type="gramStart"/>
      <w:r w:rsidRPr="009D3E34">
        <w:t xml:space="preserve">The </w:t>
      </w:r>
      <w:r w:rsidR="00801BF3" w:rsidRPr="009D3E34">
        <w:t>majority of</w:t>
      </w:r>
      <w:proofErr w:type="gramEnd"/>
      <w:r w:rsidR="00801BF3" w:rsidRPr="009D3E34">
        <w:t xml:space="preserve"> </w:t>
      </w:r>
      <w:r w:rsidR="00344DD2" w:rsidRPr="009D3E34">
        <w:t xml:space="preserve">other </w:t>
      </w:r>
      <w:r w:rsidR="00801BF3" w:rsidRPr="009D3E34">
        <w:t>member</w:t>
      </w:r>
      <w:r w:rsidRPr="009D3E34">
        <w:t xml:space="preserve"> organisations all </w:t>
      </w:r>
      <w:r w:rsidR="0051131E" w:rsidRPr="009D3E34">
        <w:t xml:space="preserve">held a commitment to only reporting on </w:t>
      </w:r>
      <w:r w:rsidR="00FC4338" w:rsidRPr="009D3E34">
        <w:t>how social and environmental issues might impact the company</w:t>
      </w:r>
      <w:r w:rsidR="00801BF3" w:rsidRPr="009D3E34">
        <w:t xml:space="preserve"> (IIRC, CDSB, SASB, FASB </w:t>
      </w:r>
      <w:r w:rsidR="00801BF3" w:rsidRPr="009D3E34">
        <w:lastRenderedPageBreak/>
        <w:t>and IASB)</w:t>
      </w:r>
      <w:r w:rsidR="0051131E" w:rsidRPr="009D3E34">
        <w:t>, and only where those impacts were considered material to the decision-making of financial investors.</w:t>
      </w:r>
      <w:r w:rsidR="00344DD2" w:rsidRPr="009D3E34">
        <w:t xml:space="preserve"> </w:t>
      </w:r>
      <w:r w:rsidR="00B94E80" w:rsidRPr="009D3E34">
        <w:t xml:space="preserve">In demonstrating how orchestration and membership choices provide mechanisms through which covert power can be </w:t>
      </w:r>
      <w:r w:rsidR="00755440" w:rsidRPr="009D3E34">
        <w:t>exercised</w:t>
      </w:r>
      <w:r w:rsidR="006E19C9" w:rsidRPr="009D3E34">
        <w:t>, t</w:t>
      </w:r>
      <w:r w:rsidR="0051131E" w:rsidRPr="009D3E34">
        <w:t xml:space="preserve">he selection of </w:t>
      </w:r>
      <w:r w:rsidR="008075C3" w:rsidRPr="009D3E34">
        <w:t xml:space="preserve">Corporate Reporting Dialogue </w:t>
      </w:r>
      <w:r w:rsidR="00D75610" w:rsidRPr="009D3E34">
        <w:t>members</w:t>
      </w:r>
      <w:r w:rsidR="00195A16" w:rsidRPr="009D3E34">
        <w:t xml:space="preserve"> was </w:t>
      </w:r>
      <w:r w:rsidR="00185547" w:rsidRPr="009D3E34">
        <w:t>described as</w:t>
      </w:r>
      <w:r w:rsidR="00195A16" w:rsidRPr="009D3E34">
        <w:t xml:space="preserve"> ‘political rather than conceptual’ (</w:t>
      </w:r>
      <w:r w:rsidR="00323888" w:rsidRPr="009D3E34">
        <w:t>C8</w:t>
      </w:r>
      <w:r w:rsidR="00195A16" w:rsidRPr="009D3E34">
        <w:t>)</w:t>
      </w:r>
      <w:r w:rsidR="006E19C9" w:rsidRPr="009D3E34">
        <w:t xml:space="preserve">. Several </w:t>
      </w:r>
      <w:r w:rsidR="00344DD2" w:rsidRPr="009D3E34">
        <w:t xml:space="preserve">interviewees </w:t>
      </w:r>
      <w:r w:rsidR="006E19C9" w:rsidRPr="009D3E34">
        <w:t xml:space="preserve">also </w:t>
      </w:r>
      <w:r w:rsidR="00344DD2" w:rsidRPr="009D3E34">
        <w:t xml:space="preserve">referred to the role of other standardisers that were </w:t>
      </w:r>
      <w:r w:rsidR="00F75C8D" w:rsidRPr="009D3E34">
        <w:t xml:space="preserve">not </w:t>
      </w:r>
      <w:r w:rsidR="00344DD2" w:rsidRPr="009D3E34">
        <w:t xml:space="preserve">members of the Corporate Reporting Dialogue, such as the UN Global Compact, </w:t>
      </w:r>
      <w:r w:rsidR="006E19C9" w:rsidRPr="009D3E34">
        <w:t xml:space="preserve">the Organisation for Economic Co-operation &amp; Development, the Capitals Coalition, </w:t>
      </w:r>
      <w:r w:rsidR="00A07EC5" w:rsidRPr="009D3E34">
        <w:t xml:space="preserve">the World Business Council for Sustainable Development, the </w:t>
      </w:r>
      <w:r w:rsidR="00344DD2" w:rsidRPr="009D3E34">
        <w:t>W</w:t>
      </w:r>
      <w:r w:rsidR="002664D4" w:rsidRPr="009D3E34">
        <w:t xml:space="preserve">orld </w:t>
      </w:r>
      <w:r w:rsidR="00344DD2" w:rsidRPr="009D3E34">
        <w:t>I</w:t>
      </w:r>
      <w:r w:rsidR="002664D4" w:rsidRPr="009D3E34">
        <w:t xml:space="preserve">ntellectual </w:t>
      </w:r>
      <w:r w:rsidR="00344DD2" w:rsidRPr="009D3E34">
        <w:t>C</w:t>
      </w:r>
      <w:r w:rsidR="002664D4" w:rsidRPr="009D3E34">
        <w:t xml:space="preserve">apital </w:t>
      </w:r>
      <w:r w:rsidR="00344DD2" w:rsidRPr="009D3E34">
        <w:t>I</w:t>
      </w:r>
      <w:r w:rsidR="002664D4" w:rsidRPr="009D3E34">
        <w:t>nitiative</w:t>
      </w:r>
      <w:r w:rsidR="00344DD2" w:rsidRPr="009D3E34">
        <w:t xml:space="preserve">, </w:t>
      </w:r>
      <w:r w:rsidR="00A07EC5" w:rsidRPr="009D3E34">
        <w:t>alongside</w:t>
      </w:r>
      <w:r w:rsidR="00344DD2" w:rsidRPr="009D3E34">
        <w:t xml:space="preserve"> </w:t>
      </w:r>
      <w:r w:rsidR="00A07EC5" w:rsidRPr="009D3E34">
        <w:t xml:space="preserve">investor </w:t>
      </w:r>
      <w:r w:rsidR="00344DD2" w:rsidRPr="009D3E34">
        <w:t xml:space="preserve">groups </w:t>
      </w:r>
      <w:r w:rsidR="00A07EC5" w:rsidRPr="009D3E34">
        <w:t xml:space="preserve">and companies themselves </w:t>
      </w:r>
      <w:r w:rsidR="00344DD2" w:rsidRPr="009D3E34">
        <w:t>(</w:t>
      </w:r>
      <w:r w:rsidR="00A62D02" w:rsidRPr="009D3E34">
        <w:t xml:space="preserve">S1, </w:t>
      </w:r>
      <w:r w:rsidR="00313DE8" w:rsidRPr="009D3E34">
        <w:t xml:space="preserve">S2, </w:t>
      </w:r>
      <w:r w:rsidR="00344DD2" w:rsidRPr="009D3E34">
        <w:t xml:space="preserve">S4, </w:t>
      </w:r>
      <w:r w:rsidR="00F800BF" w:rsidRPr="009D3E34">
        <w:t>S5</w:t>
      </w:r>
      <w:r w:rsidR="00344DD2" w:rsidRPr="009D3E34">
        <w:t xml:space="preserve">, </w:t>
      </w:r>
      <w:r w:rsidR="00A07EC5" w:rsidRPr="009D3E34">
        <w:t>C11</w:t>
      </w:r>
      <w:r w:rsidR="00344DD2" w:rsidRPr="009D3E34">
        <w:t>).</w:t>
      </w:r>
    </w:p>
    <w:p w14:paraId="6E168F26" w14:textId="5EE4B90A" w:rsidR="00195A16" w:rsidRPr="009D3E34" w:rsidRDefault="00434F10" w:rsidP="000539D0">
      <w:pPr>
        <w:pStyle w:val="nikoneindenttext15"/>
      </w:pPr>
      <w:r w:rsidRPr="009D3E34">
        <w:t>As shown in the next subsection</w:t>
      </w:r>
      <w:r w:rsidR="008C7162" w:rsidRPr="009D3E34">
        <w:t>s</w:t>
      </w:r>
      <w:r w:rsidRPr="009D3E34">
        <w:t xml:space="preserve">, much of the </w:t>
      </w:r>
      <w:r w:rsidR="0039318B" w:rsidRPr="009D3E34">
        <w:t xml:space="preserve">Dialogue’s work </w:t>
      </w:r>
      <w:r w:rsidRPr="009D3E34">
        <w:t>was undertaken by five bodies (IIRC, CDSB, CDP, SASB and GRI). Nevertheless, b</w:t>
      </w:r>
      <w:r w:rsidR="00195A16" w:rsidRPr="009D3E34">
        <w:t>y bringing in potential competitors, and standardis</w:t>
      </w:r>
      <w:r w:rsidR="00A71757" w:rsidRPr="009D3E34">
        <w:t>ers</w:t>
      </w:r>
      <w:r w:rsidR="00195A16" w:rsidRPr="009D3E34">
        <w:t xml:space="preserve"> with strong existing reputations, the </w:t>
      </w:r>
      <w:r w:rsidR="008075C3" w:rsidRPr="009D3E34">
        <w:t xml:space="preserve">Corporate Reporting Dialogue </w:t>
      </w:r>
      <w:r w:rsidR="00195A16" w:rsidRPr="009D3E34">
        <w:t xml:space="preserve">was perceived to gain </w:t>
      </w:r>
      <w:r w:rsidR="00185547" w:rsidRPr="009D3E34">
        <w:t>legitimacy</w:t>
      </w:r>
      <w:r w:rsidR="00195A16" w:rsidRPr="009D3E34">
        <w:t>.</w:t>
      </w:r>
    </w:p>
    <w:p w14:paraId="3BACE02F" w14:textId="4351F03B" w:rsidR="005E3EAD" w:rsidRPr="009D3E34" w:rsidRDefault="005E3EAD" w:rsidP="000539D0">
      <w:pPr>
        <w:pStyle w:val="nikoneindenttext15"/>
      </w:pPr>
    </w:p>
    <w:p w14:paraId="18324564" w14:textId="10DE5AAA" w:rsidR="00195A16" w:rsidRPr="009D3E34" w:rsidRDefault="009305EA" w:rsidP="00F3764D">
      <w:pPr>
        <w:pStyle w:val="niksemisubtitle"/>
      </w:pPr>
      <w:r w:rsidRPr="009D3E34">
        <w:t>4.</w:t>
      </w:r>
      <w:r w:rsidR="00AF6E0A" w:rsidRPr="009D3E34">
        <w:t>2</w:t>
      </w:r>
      <w:r w:rsidRPr="009D3E34">
        <w:t xml:space="preserve"> </w:t>
      </w:r>
      <w:r w:rsidR="005B7CD8" w:rsidRPr="009D3E34">
        <w:t xml:space="preserve">The Limits of </w:t>
      </w:r>
      <w:r w:rsidR="00AF6E0A" w:rsidRPr="009D3E34">
        <w:t>Consensus</w:t>
      </w:r>
    </w:p>
    <w:p w14:paraId="63514705" w14:textId="76E05F9D" w:rsidR="00A01D10" w:rsidRPr="009D3E34" w:rsidRDefault="005B7CD8" w:rsidP="000554FD">
      <w:pPr>
        <w:pStyle w:val="nikoneindenttext15"/>
      </w:pPr>
      <w:r w:rsidRPr="009D3E34">
        <w:t>Whilst t</w:t>
      </w:r>
      <w:r w:rsidR="003C4C7A" w:rsidRPr="009D3E34">
        <w:t xml:space="preserve">he Corporate Reporting Dialogue </w:t>
      </w:r>
      <w:r w:rsidR="00A71757" w:rsidRPr="009D3E34">
        <w:t>aimed to provide</w:t>
      </w:r>
      <w:r w:rsidR="003C4C7A" w:rsidRPr="009D3E34">
        <w:t xml:space="preserve"> a </w:t>
      </w:r>
      <w:r w:rsidR="00A71757" w:rsidRPr="009D3E34">
        <w:t>forum</w:t>
      </w:r>
      <w:r w:rsidR="003C4C7A" w:rsidRPr="009D3E34">
        <w:t xml:space="preserve"> for communication </w:t>
      </w:r>
      <w:r w:rsidR="00A71757" w:rsidRPr="009D3E34">
        <w:t xml:space="preserve">between standardisers </w:t>
      </w:r>
      <w:r w:rsidR="003C4C7A" w:rsidRPr="009D3E34">
        <w:t xml:space="preserve">and </w:t>
      </w:r>
      <w:r w:rsidR="0031771C" w:rsidRPr="009D3E34">
        <w:t>identify</w:t>
      </w:r>
      <w:r w:rsidR="003C4C7A" w:rsidRPr="009D3E34">
        <w:t xml:space="preserve"> areas in which frameworks could be aligned</w:t>
      </w:r>
      <w:r w:rsidRPr="009D3E34">
        <w:t xml:space="preserve">, doubts were expressed </w:t>
      </w:r>
      <w:r w:rsidR="003C4C7A" w:rsidRPr="009D3E34">
        <w:t>about the degree of alignment, harmonisation and consolidation that might be possible.</w:t>
      </w:r>
      <w:r w:rsidR="000A2B18" w:rsidRPr="009D3E34">
        <w:t xml:space="preserve"> </w:t>
      </w:r>
      <w:r w:rsidR="00FB49B5" w:rsidRPr="009D3E34">
        <w:t>Many</w:t>
      </w:r>
      <w:r w:rsidR="000A2B18" w:rsidRPr="009D3E34">
        <w:t xml:space="preserve"> seemed to believe ideological differences</w:t>
      </w:r>
      <w:r w:rsidR="00A01D10" w:rsidRPr="009D3E34">
        <w:t>, competitive tensions</w:t>
      </w:r>
      <w:r w:rsidR="000A2B18" w:rsidRPr="009D3E34">
        <w:t xml:space="preserve"> and institutional barriers </w:t>
      </w:r>
      <w:r w:rsidR="00A01D10" w:rsidRPr="009D3E34">
        <w:t>amongst members meant that its scope for collective action was limited</w:t>
      </w:r>
      <w:r w:rsidRPr="009D3E34">
        <w:t xml:space="preserve"> (C2, </w:t>
      </w:r>
      <w:r w:rsidR="00A57473" w:rsidRPr="009D3E34">
        <w:t>C6)</w:t>
      </w:r>
      <w:r w:rsidR="00A01D10" w:rsidRPr="009D3E34">
        <w:t>.</w:t>
      </w:r>
      <w:r w:rsidR="007F4315" w:rsidRPr="009D3E34">
        <w:t xml:space="preserve"> For example,</w:t>
      </w:r>
    </w:p>
    <w:p w14:paraId="2CD5A115" w14:textId="77777777" w:rsidR="00D0247D" w:rsidRPr="009D3E34" w:rsidRDefault="00D0247D" w:rsidP="0083191D">
      <w:pPr>
        <w:pStyle w:val="nikoneindenttext15"/>
        <w:spacing w:line="240" w:lineRule="auto"/>
      </w:pPr>
      <w:r w:rsidRPr="009D3E34">
        <w:t>“The problem is of course much more about existing organisations with boards, with different business models, with different funders etc. It’s not just the content that is standing in the way of convergence and merger, it’s also the fact that there are existing organisations with their own organisational interests.” (S2)</w:t>
      </w:r>
    </w:p>
    <w:p w14:paraId="599A8230" w14:textId="77777777" w:rsidR="00D0247D" w:rsidRPr="009D3E34" w:rsidRDefault="00D0247D" w:rsidP="0024667E">
      <w:pPr>
        <w:pStyle w:val="nikoneindenttext15"/>
      </w:pPr>
    </w:p>
    <w:p w14:paraId="31624B4C" w14:textId="18C0F2F0" w:rsidR="009931E5" w:rsidRPr="009D3E34" w:rsidRDefault="003C4C7A" w:rsidP="0083191D">
      <w:pPr>
        <w:pStyle w:val="nikoneindenttext15"/>
        <w:spacing w:line="240" w:lineRule="auto"/>
      </w:pPr>
      <w:r w:rsidRPr="009D3E34">
        <w:t>“</w:t>
      </w:r>
      <w:r w:rsidR="00FB49B5" w:rsidRPr="009D3E34">
        <w:t>I</w:t>
      </w:r>
      <w:r w:rsidR="009931E5" w:rsidRPr="009D3E34">
        <w:t xml:space="preserve">t’s always going to be limited in what it can achieve when the governance structures and the political will of the organisations differ… Someone at some point </w:t>
      </w:r>
      <w:proofErr w:type="gramStart"/>
      <w:r w:rsidR="009931E5" w:rsidRPr="009D3E34">
        <w:t>said</w:t>
      </w:r>
      <w:proofErr w:type="gramEnd"/>
      <w:r w:rsidR="009931E5" w:rsidRPr="009D3E34">
        <w:t xml:space="preserve"> </w:t>
      </w:r>
      <w:r w:rsidR="008C7632" w:rsidRPr="009D3E34">
        <w:t>‘</w:t>
      </w:r>
      <w:r w:rsidR="009931E5" w:rsidRPr="009D3E34">
        <w:t>someone just needs to let go and give up</w:t>
      </w:r>
      <w:r w:rsidR="008C7632" w:rsidRPr="009D3E34">
        <w:t>’</w:t>
      </w:r>
      <w:r w:rsidR="009931E5" w:rsidRPr="009D3E34">
        <w:t xml:space="preserve">. I understand where that’s coming </w:t>
      </w:r>
      <w:proofErr w:type="gramStart"/>
      <w:r w:rsidR="009931E5" w:rsidRPr="009D3E34">
        <w:t>from</w:t>
      </w:r>
      <w:proofErr w:type="gramEnd"/>
      <w:r w:rsidR="009931E5" w:rsidRPr="009D3E34">
        <w:t xml:space="preserve"> but I don’t think any of the organisations are ever going to be willing to let go and give up on what they feel is the right approach.” (</w:t>
      </w:r>
      <w:r w:rsidR="00323888" w:rsidRPr="009D3E34">
        <w:t>C4</w:t>
      </w:r>
      <w:r w:rsidR="009931E5" w:rsidRPr="009D3E34">
        <w:t>)</w:t>
      </w:r>
    </w:p>
    <w:p w14:paraId="61A441A1" w14:textId="77777777" w:rsidR="00FB49B5" w:rsidRPr="009D3E34" w:rsidRDefault="00FB49B5" w:rsidP="0024667E">
      <w:pPr>
        <w:pStyle w:val="nikoneindenttext15"/>
      </w:pPr>
    </w:p>
    <w:p w14:paraId="0C49312D" w14:textId="02526BC4" w:rsidR="00A01D10" w:rsidRPr="009D3E34" w:rsidRDefault="00A01D10" w:rsidP="00A01D10">
      <w:pPr>
        <w:pStyle w:val="nikoneindenttext15"/>
      </w:pPr>
      <w:r w:rsidRPr="009D3E34">
        <w:t xml:space="preserve">Given its membership there was a belief that </w:t>
      </w:r>
      <w:r w:rsidR="00D0247D" w:rsidRPr="009D3E34">
        <w:t>the Dialogue</w:t>
      </w:r>
      <w:r w:rsidRPr="009D3E34">
        <w:t xml:space="preserve"> could offer little more than a ‘talking shop’ that would offer the external world a sheen of legitimacy given it had been forged within a </w:t>
      </w:r>
      <w:r w:rsidR="00A71757" w:rsidRPr="009D3E34">
        <w:t xml:space="preserve">collaborative, </w:t>
      </w:r>
      <w:r w:rsidR="00A57473" w:rsidRPr="009D3E34">
        <w:t xml:space="preserve">consensual, </w:t>
      </w:r>
      <w:r w:rsidRPr="009D3E34">
        <w:t>consultative process. For example,</w:t>
      </w:r>
    </w:p>
    <w:p w14:paraId="54AC25CF" w14:textId="23FD1968" w:rsidR="009931E5" w:rsidRPr="009D3E34" w:rsidRDefault="00FB49B5" w:rsidP="0083191D">
      <w:pPr>
        <w:pStyle w:val="nikoneindenttext15"/>
        <w:spacing w:line="240" w:lineRule="auto"/>
      </w:pPr>
      <w:r w:rsidRPr="009D3E34">
        <w:lastRenderedPageBreak/>
        <w:t>“</w:t>
      </w:r>
      <w:r w:rsidR="00265C0C" w:rsidRPr="009D3E34">
        <w:t>W</w:t>
      </w:r>
      <w:r w:rsidR="00040422" w:rsidRPr="009D3E34">
        <w:t>e’re going to get you in, we’re going to consult with you, you’re going to talk to us a little bit, we’re going to release a paper, it’s going to look like it’s incredibly consultative.</w:t>
      </w:r>
      <w:r w:rsidRPr="009D3E34">
        <w:t>” (</w:t>
      </w:r>
      <w:r w:rsidR="000255A7" w:rsidRPr="009D3E34">
        <w:t>S7</w:t>
      </w:r>
      <w:r w:rsidRPr="009D3E34">
        <w:t>)</w:t>
      </w:r>
    </w:p>
    <w:p w14:paraId="528EE564" w14:textId="1FD02B54" w:rsidR="00040422" w:rsidRPr="009D3E34" w:rsidRDefault="00040422" w:rsidP="0024667E">
      <w:pPr>
        <w:pStyle w:val="nikoneindenttext15"/>
      </w:pPr>
    </w:p>
    <w:p w14:paraId="5B5344A6" w14:textId="067706A5" w:rsidR="00D67CBC" w:rsidRPr="009D3E34" w:rsidRDefault="00D342F6" w:rsidP="000554FD">
      <w:pPr>
        <w:pStyle w:val="nikoneindenttext15"/>
      </w:pPr>
      <w:r w:rsidRPr="009D3E34">
        <w:t xml:space="preserve">As discussed in section 2, the Dialogue offered the </w:t>
      </w:r>
      <w:r w:rsidR="007F4315" w:rsidRPr="009D3E34">
        <w:t>means</w:t>
      </w:r>
      <w:r w:rsidRPr="009D3E34">
        <w:t xml:space="preserve"> to present a ‘post-politics’ style consensus on sustainability reporting to the outside </w:t>
      </w:r>
      <w:proofErr w:type="gramStart"/>
      <w:r w:rsidRPr="009D3E34">
        <w:t>world, and</w:t>
      </w:r>
      <w:proofErr w:type="gramEnd"/>
      <w:r w:rsidRPr="009D3E34">
        <w:t xml:space="preserve"> establish the </w:t>
      </w:r>
      <w:r w:rsidR="009355FF" w:rsidRPr="009D3E34">
        <w:t xml:space="preserve">authority and normativity of that consensual vision in the eyes of regulators, investors and </w:t>
      </w:r>
      <w:r w:rsidR="00F75C8D" w:rsidRPr="009D3E34">
        <w:t>preparers</w:t>
      </w:r>
      <w:r w:rsidR="009355FF" w:rsidRPr="009D3E34">
        <w:t>.</w:t>
      </w:r>
      <w:r w:rsidR="00383B59" w:rsidRPr="009D3E34">
        <w:t xml:space="preserve"> </w:t>
      </w:r>
      <w:r w:rsidR="00A57473" w:rsidRPr="009D3E34">
        <w:t>In attempting to build a consensual position, a</w:t>
      </w:r>
      <w:r w:rsidR="00F3764D" w:rsidRPr="009D3E34">
        <w:t xml:space="preserve"> f</w:t>
      </w:r>
      <w:r w:rsidR="00D318DE" w:rsidRPr="009D3E34">
        <w:t>irst report</w:t>
      </w:r>
      <w:r w:rsidR="00F3764D" w:rsidRPr="009D3E34">
        <w:t xml:space="preserve">, </w:t>
      </w:r>
      <w:r w:rsidR="00D318DE" w:rsidRPr="009D3E34">
        <w:t>a ‘</w:t>
      </w:r>
      <w:r w:rsidR="00F3764D" w:rsidRPr="009D3E34">
        <w:t>Landscape Map</w:t>
      </w:r>
      <w:r w:rsidR="00D318DE" w:rsidRPr="009D3E34">
        <w:t>’</w:t>
      </w:r>
      <w:r w:rsidR="00F3764D" w:rsidRPr="009D3E34">
        <w:t xml:space="preserve">, sought to show how the </w:t>
      </w:r>
      <w:r w:rsidR="00A07EC5" w:rsidRPr="009D3E34">
        <w:t xml:space="preserve">standardising guidance disclosed by </w:t>
      </w:r>
      <w:r w:rsidR="00D318DE" w:rsidRPr="009D3E34">
        <w:t xml:space="preserve">Corporate Reporting Dialogue </w:t>
      </w:r>
      <w:r w:rsidR="00F3764D" w:rsidRPr="009D3E34">
        <w:t>participants could fit into the &lt;IR&gt; framework (</w:t>
      </w:r>
      <w:r w:rsidR="00D318DE" w:rsidRPr="009D3E34">
        <w:t>CRD</w:t>
      </w:r>
      <w:r w:rsidR="00F3764D" w:rsidRPr="009D3E34">
        <w:t xml:space="preserve">, 2014). Within this document, the hidden power relations within the </w:t>
      </w:r>
      <w:r w:rsidR="00D318DE" w:rsidRPr="009D3E34">
        <w:t xml:space="preserve">Corporate Reporting Dialogue </w:t>
      </w:r>
      <w:r w:rsidR="00F3764D" w:rsidRPr="009D3E34">
        <w:t xml:space="preserve">begin to emerge. The report judges how other </w:t>
      </w:r>
      <w:r w:rsidR="00A07EC5" w:rsidRPr="009D3E34">
        <w:t>standardisers</w:t>
      </w:r>
      <w:r w:rsidR="00F3764D" w:rsidRPr="009D3E34">
        <w:t xml:space="preserve"> conform or not </w:t>
      </w:r>
      <w:r w:rsidR="00F3764D" w:rsidRPr="009D3E34">
        <w:rPr>
          <w:i/>
        </w:rPr>
        <w:t>to</w:t>
      </w:r>
      <w:r w:rsidR="00F3764D" w:rsidRPr="009D3E34">
        <w:t xml:space="preserve"> the IIRC worldview - ‘the scope of </w:t>
      </w:r>
      <w:r w:rsidR="000554FD" w:rsidRPr="009D3E34">
        <w:t xml:space="preserve">a </w:t>
      </w:r>
      <w:r w:rsidR="00F3764D" w:rsidRPr="009D3E34">
        <w:t xml:space="preserve">standard or framework through the lens of &lt;IR&gt;’ </w:t>
      </w:r>
      <w:r w:rsidR="000554FD" w:rsidRPr="009D3E34">
        <w:t xml:space="preserve">– rather than </w:t>
      </w:r>
      <w:r w:rsidR="00D67CBC" w:rsidRPr="009D3E34">
        <w:t>how &lt;IR&gt; could fit into other frameworks</w:t>
      </w:r>
      <w:r w:rsidR="000554FD" w:rsidRPr="009D3E34">
        <w:t>.</w:t>
      </w:r>
    </w:p>
    <w:p w14:paraId="7BE3EAED" w14:textId="1F46A490" w:rsidR="001D1989" w:rsidRPr="009D3E34" w:rsidRDefault="000554FD" w:rsidP="000554FD">
      <w:pPr>
        <w:pStyle w:val="nikoneindenttext15"/>
      </w:pPr>
      <w:r w:rsidRPr="009D3E34">
        <w:t>The next project</w:t>
      </w:r>
      <w:r w:rsidR="00E23868" w:rsidRPr="009D3E34">
        <w:t>, ‘A Statement of Common Principles on Materiality’,</w:t>
      </w:r>
      <w:r w:rsidRPr="009D3E34">
        <w:t xml:space="preserve"> sought common approaches in the use of materiality to guide what should be reported </w:t>
      </w:r>
      <w:r w:rsidR="00E23868" w:rsidRPr="009D3E34">
        <w:t>by firms</w:t>
      </w:r>
      <w:r w:rsidRPr="009D3E34">
        <w:t xml:space="preserve"> (</w:t>
      </w:r>
      <w:r w:rsidR="00D318DE" w:rsidRPr="009D3E34">
        <w:t>CRD</w:t>
      </w:r>
      <w:r w:rsidRPr="009D3E34">
        <w:t>, 2016).</w:t>
      </w:r>
      <w:r w:rsidR="00E23868" w:rsidRPr="009D3E34">
        <w:t xml:space="preserve"> </w:t>
      </w:r>
      <w:r w:rsidR="001D1989" w:rsidRPr="009D3E34">
        <w:t xml:space="preserve">Early signs of the approach that became the </w:t>
      </w:r>
      <w:r w:rsidR="00C73F76" w:rsidRPr="009D3E34">
        <w:t xml:space="preserve">future </w:t>
      </w:r>
      <w:r w:rsidR="001D1989" w:rsidRPr="009D3E34">
        <w:t xml:space="preserve">blueprint for </w:t>
      </w:r>
      <w:r w:rsidR="00755440" w:rsidRPr="009D3E34">
        <w:t xml:space="preserve">the </w:t>
      </w:r>
      <w:r w:rsidR="001D1989" w:rsidRPr="009D3E34">
        <w:t>I</w:t>
      </w:r>
      <w:r w:rsidR="00755440" w:rsidRPr="009D3E34">
        <w:t xml:space="preserve">nternational </w:t>
      </w:r>
      <w:r w:rsidR="001D1989" w:rsidRPr="009D3E34">
        <w:t>S</w:t>
      </w:r>
      <w:r w:rsidR="00755440" w:rsidRPr="009D3E34">
        <w:t xml:space="preserve">ustainability </w:t>
      </w:r>
      <w:r w:rsidR="001D1989" w:rsidRPr="009D3E34">
        <w:t>S</w:t>
      </w:r>
      <w:r w:rsidR="00755440" w:rsidRPr="009D3E34">
        <w:t xml:space="preserve">tandards </w:t>
      </w:r>
      <w:r w:rsidR="001D1989" w:rsidRPr="009D3E34">
        <w:t>B</w:t>
      </w:r>
      <w:r w:rsidR="00755440" w:rsidRPr="009D3E34">
        <w:t>oard</w:t>
      </w:r>
      <w:r w:rsidR="001D1989" w:rsidRPr="009D3E34">
        <w:t xml:space="preserve"> were apparent.</w:t>
      </w:r>
    </w:p>
    <w:p w14:paraId="6145B782" w14:textId="3C5B9E87" w:rsidR="001D1989" w:rsidRPr="009D3E34" w:rsidRDefault="001D1989" w:rsidP="0083191D">
      <w:pPr>
        <w:pStyle w:val="nikoneindenttext15"/>
        <w:spacing w:line="240" w:lineRule="auto"/>
      </w:pPr>
      <w:r w:rsidRPr="009D3E34">
        <w:t>“</w:t>
      </w:r>
      <w:r w:rsidR="000270ED" w:rsidRPr="009D3E34">
        <w:t>T</w:t>
      </w:r>
      <w:r w:rsidRPr="009D3E34">
        <w:t xml:space="preserve">here’s </w:t>
      </w:r>
      <w:proofErr w:type="gramStart"/>
      <w:r w:rsidRPr="009D3E34">
        <w:t>a number of</w:t>
      </w:r>
      <w:proofErr w:type="gramEnd"/>
      <w:r w:rsidRPr="009D3E34">
        <w:t xml:space="preserve"> ways you could do [materiality]. You could look at the investor first and then expand, or you could look at the whole lot first and then come back and have a look at what the investor needs out of the total thing.</w:t>
      </w:r>
      <w:r w:rsidR="00A44542" w:rsidRPr="009D3E34">
        <w:t xml:space="preserve">.. </w:t>
      </w:r>
      <w:r w:rsidRPr="009D3E34">
        <w:t>The IASB is definite that they’re doing it for the investor so if we’re going to link the IASB and the work we’ll have to look at it from that point of view” (C11)</w:t>
      </w:r>
    </w:p>
    <w:p w14:paraId="2557A620" w14:textId="77777777" w:rsidR="001D1989" w:rsidRPr="009D3E34" w:rsidRDefault="001D1989" w:rsidP="0024667E">
      <w:pPr>
        <w:pStyle w:val="nikoneindenttext15"/>
      </w:pPr>
    </w:p>
    <w:p w14:paraId="696C7022" w14:textId="546627B3" w:rsidR="000554FD" w:rsidRPr="009D3E34" w:rsidRDefault="001D1989" w:rsidP="000554FD">
      <w:pPr>
        <w:pStyle w:val="nikoneindenttext15"/>
      </w:pPr>
      <w:r w:rsidRPr="009D3E34">
        <w:t>However, b</w:t>
      </w:r>
      <w:r w:rsidR="00E23868" w:rsidRPr="009D3E34">
        <w:t xml:space="preserve">y this time, any concession to an aligned position </w:t>
      </w:r>
      <w:r w:rsidR="0083191D" w:rsidRPr="009D3E34">
        <w:t xml:space="preserve">amongst all Dialogue members </w:t>
      </w:r>
      <w:r w:rsidR="00E23868" w:rsidRPr="009D3E34">
        <w:t xml:space="preserve">was rejected by the US national accounting standard-setter, </w:t>
      </w:r>
      <w:r w:rsidR="00265C0C" w:rsidRPr="009D3E34">
        <w:t xml:space="preserve">the </w:t>
      </w:r>
      <w:r w:rsidR="00E23868" w:rsidRPr="009D3E34">
        <w:t>FASB.</w:t>
      </w:r>
    </w:p>
    <w:p w14:paraId="4C5AA5A7" w14:textId="40CADD8D" w:rsidR="00E23868" w:rsidRPr="009D3E34" w:rsidRDefault="00E23868" w:rsidP="0083191D">
      <w:pPr>
        <w:pStyle w:val="nikoneindenttext15"/>
        <w:spacing w:line="240" w:lineRule="auto"/>
      </w:pPr>
      <w:r w:rsidRPr="009D3E34">
        <w:t>“[FASB] struggled to sign it because it w</w:t>
      </w:r>
      <w:r w:rsidR="008C7632" w:rsidRPr="009D3E34">
        <w:t>as</w:t>
      </w:r>
      <w:r w:rsidRPr="009D3E34">
        <w:t>n’t the exact FASB words. They decided not to undersign.” (</w:t>
      </w:r>
      <w:r w:rsidR="00323888" w:rsidRPr="009D3E34">
        <w:t>C8</w:t>
      </w:r>
      <w:r w:rsidRPr="009D3E34">
        <w:t>)</w:t>
      </w:r>
    </w:p>
    <w:p w14:paraId="0289C178" w14:textId="77777777" w:rsidR="00E23868" w:rsidRPr="009D3E34" w:rsidRDefault="00E23868" w:rsidP="0024667E">
      <w:pPr>
        <w:pStyle w:val="nikoneindenttext15"/>
      </w:pPr>
    </w:p>
    <w:p w14:paraId="0CC2FAF4" w14:textId="5BD759AF" w:rsidR="0039318B" w:rsidRPr="009D3E34" w:rsidRDefault="00E23868" w:rsidP="009305EA">
      <w:pPr>
        <w:pStyle w:val="nikoneindenttext15"/>
      </w:pPr>
      <w:r w:rsidRPr="009D3E34">
        <w:t>By 201</w:t>
      </w:r>
      <w:r w:rsidR="00265C0C" w:rsidRPr="009D3E34">
        <w:t>7</w:t>
      </w:r>
      <w:r w:rsidRPr="009D3E34">
        <w:t xml:space="preserve">, the FASB </w:t>
      </w:r>
      <w:r w:rsidR="00092200" w:rsidRPr="009D3E34">
        <w:t xml:space="preserve">had </w:t>
      </w:r>
      <w:r w:rsidR="00165B78" w:rsidRPr="009D3E34">
        <w:t>bec</w:t>
      </w:r>
      <w:r w:rsidR="008C7632" w:rsidRPr="009D3E34">
        <w:t>o</w:t>
      </w:r>
      <w:r w:rsidR="00165B78" w:rsidRPr="009D3E34">
        <w:t xml:space="preserve">me an </w:t>
      </w:r>
      <w:r w:rsidRPr="009D3E34">
        <w:t>‘</w:t>
      </w:r>
      <w:r w:rsidR="00165B78" w:rsidRPr="009D3E34">
        <w:t>observer</w:t>
      </w:r>
      <w:r w:rsidRPr="009D3E34">
        <w:t>’ rather than a participant</w:t>
      </w:r>
      <w:r w:rsidR="00165B78" w:rsidRPr="009D3E34">
        <w:t xml:space="preserve"> after the chang</w:t>
      </w:r>
      <w:r w:rsidRPr="009D3E34">
        <w:t>e</w:t>
      </w:r>
      <w:r w:rsidR="00165B78" w:rsidRPr="009D3E34">
        <w:t xml:space="preserve"> in </w:t>
      </w:r>
      <w:r w:rsidR="00265C0C" w:rsidRPr="009D3E34">
        <w:t xml:space="preserve">the US </w:t>
      </w:r>
      <w:r w:rsidR="004D3A95" w:rsidRPr="009D3E34">
        <w:t xml:space="preserve">presidential </w:t>
      </w:r>
      <w:r w:rsidR="00165B78" w:rsidRPr="009D3E34">
        <w:t xml:space="preserve">administration </w:t>
      </w:r>
      <w:r w:rsidR="004D3A95" w:rsidRPr="009D3E34">
        <w:t>deprioritised international alignment</w:t>
      </w:r>
      <w:r w:rsidR="00196B7C" w:rsidRPr="009D3E34">
        <w:t xml:space="preserve"> (</w:t>
      </w:r>
      <w:r w:rsidR="00323888" w:rsidRPr="009D3E34">
        <w:t>C8</w:t>
      </w:r>
      <w:r w:rsidR="00FB6AE3" w:rsidRPr="009D3E34">
        <w:t>, C11</w:t>
      </w:r>
      <w:r w:rsidR="004D3A95" w:rsidRPr="009D3E34">
        <w:t>)</w:t>
      </w:r>
      <w:r w:rsidR="00FB6AE3" w:rsidRPr="009D3E34">
        <w:t xml:space="preserve">. </w:t>
      </w:r>
      <w:r w:rsidR="00280283" w:rsidRPr="009D3E34">
        <w:t xml:space="preserve">With the FASB and ISO remaining in the Dialogue </w:t>
      </w:r>
      <w:r w:rsidR="00502233" w:rsidRPr="009D3E34">
        <w:t xml:space="preserve">only </w:t>
      </w:r>
      <w:r w:rsidR="00280283" w:rsidRPr="009D3E34">
        <w:t>as observers, the burden of activity was placed on the remaining six members</w:t>
      </w:r>
      <w:r w:rsidR="00383B59" w:rsidRPr="009D3E34">
        <w:t xml:space="preserve"> and t</w:t>
      </w:r>
      <w:r w:rsidR="00C73F76" w:rsidRPr="009D3E34">
        <w:t xml:space="preserve">he </w:t>
      </w:r>
      <w:r w:rsidR="00D63F0F" w:rsidRPr="009D3E34">
        <w:t>Dialogue commenced work on a project aligning the climate-related metrics of CDP, SASB, GRI and CDSB in 2017.</w:t>
      </w:r>
      <w:r w:rsidR="0039318B" w:rsidRPr="009D3E34">
        <w:t xml:space="preserve"> </w:t>
      </w:r>
    </w:p>
    <w:p w14:paraId="189A2049" w14:textId="4A3E687E" w:rsidR="00952641" w:rsidRPr="009D3E34" w:rsidRDefault="001D1989" w:rsidP="009305EA">
      <w:pPr>
        <w:pStyle w:val="nikoneindenttext15"/>
      </w:pPr>
      <w:r w:rsidRPr="009D3E34">
        <w:t>As discussed in subsection 4.1, much of the activity was under</w:t>
      </w:r>
      <w:r w:rsidR="00502233" w:rsidRPr="009D3E34">
        <w:t xml:space="preserve">taken by those members with the most to gain from collaboration. </w:t>
      </w:r>
      <w:r w:rsidR="00D4542A" w:rsidRPr="009D3E34">
        <w:t xml:space="preserve">Whilst the inactivity of two powerful standardisers potentially limited the legitimacy of any consensual position formed by the Dialogue, </w:t>
      </w:r>
      <w:r w:rsidR="00335A8D" w:rsidRPr="009D3E34">
        <w:t xml:space="preserve">the </w:t>
      </w:r>
      <w:r w:rsidR="00335A8D" w:rsidRPr="009D3E34">
        <w:lastRenderedPageBreak/>
        <w:t xml:space="preserve">collaborative initiative was seen as attractive to other orchestrators and funders as a vehicle to align </w:t>
      </w:r>
      <w:r w:rsidR="00BF6D21" w:rsidRPr="009D3E34">
        <w:t xml:space="preserve">and consolidate </w:t>
      </w:r>
      <w:r w:rsidR="00335A8D" w:rsidRPr="009D3E34">
        <w:t>sustainability reporting accordant with their visions.</w:t>
      </w:r>
    </w:p>
    <w:p w14:paraId="0CC1ADD4" w14:textId="4A0922EE" w:rsidR="00931F40" w:rsidRPr="009D3E34" w:rsidRDefault="00931F40" w:rsidP="0083191D">
      <w:pPr>
        <w:pStyle w:val="nikoneindenttext15"/>
        <w:spacing w:line="240" w:lineRule="auto"/>
      </w:pPr>
      <w:r w:rsidRPr="009D3E34">
        <w:t>“</w:t>
      </w:r>
      <w:r w:rsidR="000270ED" w:rsidRPr="009D3E34">
        <w:t>T</w:t>
      </w:r>
      <w:r w:rsidRPr="009D3E34">
        <w:t>here are some other funders who are beginning to come into the conversation and say that’s what they want to see and if that could be done, resources may be provided to support such an activity.” (</w:t>
      </w:r>
      <w:r w:rsidR="00F800BF" w:rsidRPr="009D3E34">
        <w:t>S5</w:t>
      </w:r>
      <w:r w:rsidRPr="009D3E34">
        <w:t>).</w:t>
      </w:r>
    </w:p>
    <w:p w14:paraId="7FF3873E" w14:textId="1B280F58" w:rsidR="00467172" w:rsidRPr="009D3E34" w:rsidRDefault="00467172" w:rsidP="001E60F0">
      <w:pPr>
        <w:pStyle w:val="nikoneindenttext15"/>
      </w:pPr>
    </w:p>
    <w:p w14:paraId="33F4362A" w14:textId="1FBC3205" w:rsidR="00952641" w:rsidRPr="009D3E34" w:rsidRDefault="00F31412" w:rsidP="00952641">
      <w:pPr>
        <w:pStyle w:val="niksemisubtitle"/>
      </w:pPr>
      <w:r w:rsidRPr="009D3E34">
        <w:t>4.</w:t>
      </w:r>
      <w:r w:rsidR="00335A8D" w:rsidRPr="009D3E34">
        <w:t>3</w:t>
      </w:r>
      <w:r w:rsidRPr="009D3E34">
        <w:t xml:space="preserve"> </w:t>
      </w:r>
      <w:r w:rsidR="005415FC" w:rsidRPr="009D3E34">
        <w:t>The Entry of New</w:t>
      </w:r>
      <w:r w:rsidRPr="009D3E34">
        <w:t xml:space="preserve"> Orchestrator</w:t>
      </w:r>
      <w:r w:rsidR="009D3FA5" w:rsidRPr="009D3E34">
        <w:t>s</w:t>
      </w:r>
    </w:p>
    <w:p w14:paraId="4C7D0B45" w14:textId="650AC0F1" w:rsidR="009308DB" w:rsidRPr="009D3E34" w:rsidRDefault="00031B2C" w:rsidP="00CB56DF">
      <w:pPr>
        <w:pStyle w:val="nikoneindenttext15"/>
      </w:pPr>
      <w:r w:rsidRPr="009D3E34">
        <w:t xml:space="preserve">By </w:t>
      </w:r>
      <w:r w:rsidR="0051352A" w:rsidRPr="009D3E34">
        <w:t xml:space="preserve">late </w:t>
      </w:r>
      <w:r w:rsidRPr="009D3E34">
        <w:t>201</w:t>
      </w:r>
      <w:r w:rsidR="007D5CCA" w:rsidRPr="009D3E34">
        <w:t>7</w:t>
      </w:r>
      <w:r w:rsidRPr="009D3E34">
        <w:t xml:space="preserve">, </w:t>
      </w:r>
      <w:r w:rsidR="0051352A" w:rsidRPr="009D3E34">
        <w:t xml:space="preserve">an </w:t>
      </w:r>
      <w:r w:rsidR="00BF6D21" w:rsidRPr="009D3E34">
        <w:t xml:space="preserve">apparently </w:t>
      </w:r>
      <w:r w:rsidR="0051352A" w:rsidRPr="009D3E34">
        <w:t xml:space="preserve">unexpected turn of events led to a change in focus for </w:t>
      </w:r>
      <w:r w:rsidRPr="009D3E34">
        <w:t xml:space="preserve">the </w:t>
      </w:r>
      <w:r w:rsidR="0051352A" w:rsidRPr="009D3E34">
        <w:t>Corporate</w:t>
      </w:r>
      <w:r w:rsidRPr="009D3E34">
        <w:t xml:space="preserve"> Reporting Dialogue. The </w:t>
      </w:r>
      <w:r w:rsidR="00D318DE" w:rsidRPr="009D3E34">
        <w:t xml:space="preserve">TCFD </w:t>
      </w:r>
      <w:r w:rsidR="00BC3F5A" w:rsidRPr="009D3E34">
        <w:t xml:space="preserve">emerged on 4 December 2015 </w:t>
      </w:r>
      <w:r w:rsidR="006F6E56" w:rsidRPr="009D3E34">
        <w:t>at</w:t>
      </w:r>
      <w:r w:rsidR="00BC3F5A" w:rsidRPr="009D3E34">
        <w:t xml:space="preserve"> the Paris </w:t>
      </w:r>
      <w:r w:rsidR="00F9506A" w:rsidRPr="009D3E34">
        <w:t xml:space="preserve">UNFCCC </w:t>
      </w:r>
      <w:r w:rsidR="00BC3F5A" w:rsidRPr="009D3E34">
        <w:t xml:space="preserve">Conference </w:t>
      </w:r>
      <w:r w:rsidR="00F9506A" w:rsidRPr="009D3E34">
        <w:t>of Parties</w:t>
      </w:r>
      <w:r w:rsidR="00BC3F5A" w:rsidRPr="009D3E34">
        <w:t xml:space="preserve"> </w:t>
      </w:r>
      <w:r w:rsidR="006F6E56" w:rsidRPr="009D3E34">
        <w:t>after</w:t>
      </w:r>
      <w:r w:rsidR="00BC3F5A" w:rsidRPr="009D3E34">
        <w:t xml:space="preserve"> the G20 </w:t>
      </w:r>
      <w:r w:rsidR="006F6E56" w:rsidRPr="009D3E34">
        <w:t xml:space="preserve">had </w:t>
      </w:r>
      <w:r w:rsidR="00BC3F5A" w:rsidRPr="009D3E34">
        <w:t>requested that the Financial Stability Board convene public and private</w:t>
      </w:r>
      <w:r w:rsidR="00E0655F" w:rsidRPr="009D3E34">
        <w:t>-</w:t>
      </w:r>
      <w:r w:rsidR="00BC3F5A" w:rsidRPr="009D3E34">
        <w:t xml:space="preserve">sector actors to review </w:t>
      </w:r>
      <w:r w:rsidR="00D318DE" w:rsidRPr="009D3E34">
        <w:t xml:space="preserve">the </w:t>
      </w:r>
      <w:r w:rsidR="00BC3F5A" w:rsidRPr="009D3E34">
        <w:t>disclosure of climate-related issues (TCFD, 2017</w:t>
      </w:r>
      <w:r w:rsidR="00BC6B6D" w:rsidRPr="009D3E34">
        <w:t xml:space="preserve">; </w:t>
      </w:r>
      <w:proofErr w:type="spellStart"/>
      <w:r w:rsidR="00BC6B6D" w:rsidRPr="009D3E34">
        <w:t>O’Dwyer</w:t>
      </w:r>
      <w:proofErr w:type="spellEnd"/>
      <w:r w:rsidR="00BC6B6D" w:rsidRPr="009D3E34">
        <w:t xml:space="preserve"> &amp; </w:t>
      </w:r>
      <w:proofErr w:type="spellStart"/>
      <w:r w:rsidR="00BC6B6D" w:rsidRPr="009D3E34">
        <w:t>Unerman</w:t>
      </w:r>
      <w:proofErr w:type="spellEnd"/>
      <w:r w:rsidR="00BC6B6D" w:rsidRPr="009D3E34">
        <w:t>, 2020</w:t>
      </w:r>
      <w:r w:rsidR="00BC3F5A" w:rsidRPr="009D3E34">
        <w:t xml:space="preserve">). </w:t>
      </w:r>
      <w:r w:rsidR="00BC6B6D" w:rsidRPr="009D3E34">
        <w:t>It</w:t>
      </w:r>
      <w:r w:rsidR="00F360C9" w:rsidRPr="009D3E34">
        <w:t>s</w:t>
      </w:r>
      <w:r w:rsidR="00BC6B6D" w:rsidRPr="009D3E34">
        <w:t xml:space="preserve"> genesis can be traced back to 2011 when a ‘Private Sector Taskforce of Regulated Professions and Industries’ (including the IASB) </w:t>
      </w:r>
      <w:r w:rsidR="00E24DA5" w:rsidRPr="009D3E34">
        <w:t xml:space="preserve">made </w:t>
      </w:r>
      <w:r w:rsidR="00BC6B6D" w:rsidRPr="009D3E34">
        <w:t xml:space="preserve">recommendations in a report to G20 deputies that sought to address regulatory fragmentation (Private Sector Taskforce of Regulated Professions and Industries, 2011). This encouraged the G20 “to encourage and support the development, adoption, implementation and consistent interpretation of globally accepted high-quality international standards” for </w:t>
      </w:r>
      <w:r w:rsidR="00E24DA5" w:rsidRPr="009D3E34">
        <w:t>corporate</w:t>
      </w:r>
      <w:r w:rsidR="00BC6B6D" w:rsidRPr="009D3E34">
        <w:t xml:space="preserve"> reporting (Private Sector Taskforce of Regulated Professions and Industries, 2011:3)</w:t>
      </w:r>
      <w:r w:rsidR="009308DB" w:rsidRPr="009D3E34">
        <w:t>.</w:t>
      </w:r>
    </w:p>
    <w:p w14:paraId="440E7DA3" w14:textId="742FB265" w:rsidR="00C61CDC" w:rsidRPr="009D3E34" w:rsidRDefault="00A8082F" w:rsidP="00C61CDC">
      <w:pPr>
        <w:pStyle w:val="nikoneindenttext15"/>
      </w:pPr>
      <w:r w:rsidRPr="009D3E34">
        <w:t>Whilst the Financial Stability Board asked the TCFD to focus on the consistency of disclosures and consider their target audience, i</w:t>
      </w:r>
      <w:r w:rsidR="00BC3F5A" w:rsidRPr="009D3E34">
        <w:t xml:space="preserve">t also explicitly noted that the TCFD should not add to the growing body of existing disclosure </w:t>
      </w:r>
      <w:r w:rsidR="00D0247D" w:rsidRPr="009D3E34">
        <w:t>standards</w:t>
      </w:r>
      <w:r w:rsidR="00BC3F5A" w:rsidRPr="009D3E34">
        <w:t xml:space="preserve"> (TCFD, 2017). </w:t>
      </w:r>
      <w:r w:rsidR="007165E8" w:rsidRPr="009D3E34">
        <w:t xml:space="preserve">In its interim and final reports, the TCFD recommended corporate disclosures relating to climate-related risks and opportunities within the ‘front end’ of the corporate report </w:t>
      </w:r>
      <w:r w:rsidR="00255D51" w:rsidRPr="009D3E34">
        <w:t xml:space="preserve">and made links to the standards of existing bodies such as the CDP, CDSB, GHG Protocol, GRI, IIRC and SASB </w:t>
      </w:r>
      <w:r w:rsidR="007165E8" w:rsidRPr="009D3E34">
        <w:t>(TCFD, 2016; TCFD, 2017</w:t>
      </w:r>
      <w:r w:rsidR="00C61CDC" w:rsidRPr="009D3E34">
        <w:t>; TCFD, 2018</w:t>
      </w:r>
      <w:r w:rsidR="007165E8" w:rsidRPr="009D3E34">
        <w:t>).</w:t>
      </w:r>
      <w:r w:rsidR="00557951" w:rsidRPr="009D3E34">
        <w:t xml:space="preserve"> </w:t>
      </w:r>
      <w:r w:rsidR="007165E8" w:rsidRPr="009D3E34">
        <w:t xml:space="preserve">Given the </w:t>
      </w:r>
      <w:r w:rsidR="00CC48B3" w:rsidRPr="009D3E34">
        <w:t xml:space="preserve">powerful </w:t>
      </w:r>
      <w:r w:rsidR="007165E8" w:rsidRPr="009D3E34">
        <w:t xml:space="preserve">political backing for the </w:t>
      </w:r>
      <w:r w:rsidR="00BB7A29" w:rsidRPr="009D3E34">
        <w:t>TCFD via the Financial Stability Board and the G20</w:t>
      </w:r>
      <w:r w:rsidR="007165E8" w:rsidRPr="009D3E34">
        <w:t>,</w:t>
      </w:r>
      <w:r w:rsidR="00595CA9" w:rsidRPr="009D3E34">
        <w:t xml:space="preserve"> it received great interest amongst standardisers </w:t>
      </w:r>
      <w:r w:rsidR="00922740" w:rsidRPr="009D3E34">
        <w:t xml:space="preserve">and </w:t>
      </w:r>
      <w:r w:rsidR="00182936" w:rsidRPr="009D3E34">
        <w:t xml:space="preserve">offered </w:t>
      </w:r>
      <w:r w:rsidR="00383B59" w:rsidRPr="009D3E34">
        <w:t>a</w:t>
      </w:r>
      <w:r w:rsidR="00F9506A" w:rsidRPr="009D3E34">
        <w:t xml:space="preserve"> focal point</w:t>
      </w:r>
      <w:r w:rsidR="00383B59" w:rsidRPr="009D3E34">
        <w:t xml:space="preserve"> </w:t>
      </w:r>
      <w:r w:rsidR="00182936" w:rsidRPr="009D3E34">
        <w:t xml:space="preserve">to which reporting initiatives sought to attach themselves in the hope of validation and legitimacy. </w:t>
      </w:r>
      <w:r w:rsidR="00595CA9" w:rsidRPr="009D3E34">
        <w:t xml:space="preserve">For example, </w:t>
      </w:r>
      <w:r w:rsidRPr="009D3E34">
        <w:t>three members of the Corporate Reporting Dialogue, SASB, CDSB and CDP issued papers noting how their approaches are well-aligned with the TCFD recommendations (IASB, 2017b; CDP &amp; CDSB, 2019)</w:t>
      </w:r>
      <w:r w:rsidR="00A95A08" w:rsidRPr="009D3E34">
        <w:t>.</w:t>
      </w:r>
    </w:p>
    <w:p w14:paraId="7482488C" w14:textId="77777777" w:rsidR="00BB7A29" w:rsidRPr="009D3E34" w:rsidRDefault="00BB7A29" w:rsidP="005D27AD">
      <w:pPr>
        <w:pStyle w:val="nikoneindenttext15"/>
      </w:pPr>
    </w:p>
    <w:p w14:paraId="18CDFE97" w14:textId="6045E580" w:rsidR="00106C57" w:rsidRPr="009D3E34" w:rsidRDefault="00C60EC9" w:rsidP="005D27AD">
      <w:pPr>
        <w:pStyle w:val="nikoneindenttext15"/>
      </w:pPr>
      <w:r w:rsidRPr="009D3E34">
        <w:t xml:space="preserve">The </w:t>
      </w:r>
      <w:r w:rsidR="00BB7A29" w:rsidRPr="009D3E34">
        <w:t xml:space="preserve">specific </w:t>
      </w:r>
      <w:r w:rsidRPr="009D3E34">
        <w:t>influence of the TCFD over the direction of the Corporate Reporting Dialogue began to crystallise in 2017</w:t>
      </w:r>
      <w:r w:rsidR="00306491" w:rsidRPr="009D3E34">
        <w:t xml:space="preserve"> when representatives proposed that the Dialogue </w:t>
      </w:r>
      <w:r w:rsidR="00306491" w:rsidRPr="009D3E34">
        <w:lastRenderedPageBreak/>
        <w:t xml:space="preserve">commence a </w:t>
      </w:r>
      <w:r w:rsidR="00FF7E39" w:rsidRPr="009D3E34">
        <w:t xml:space="preserve">‘Better Alignment’ </w:t>
      </w:r>
      <w:r w:rsidR="00306491" w:rsidRPr="009D3E34">
        <w:t xml:space="preserve">project that specifically mapped </w:t>
      </w:r>
      <w:r w:rsidR="00FF7E39" w:rsidRPr="009D3E34">
        <w:t xml:space="preserve">their </w:t>
      </w:r>
      <w:r w:rsidR="00306491" w:rsidRPr="009D3E34">
        <w:t>standard</w:t>
      </w:r>
      <w:r w:rsidR="008A5814" w:rsidRPr="009D3E34">
        <w:t>s</w:t>
      </w:r>
      <w:r w:rsidR="00306491" w:rsidRPr="009D3E34">
        <w:t xml:space="preserve"> to the TCFD </w:t>
      </w:r>
      <w:proofErr w:type="gramStart"/>
      <w:r w:rsidR="00306491" w:rsidRPr="009D3E34">
        <w:t>recommendations, and</w:t>
      </w:r>
      <w:proofErr w:type="gramEnd"/>
      <w:r w:rsidR="00306491" w:rsidRPr="009D3E34">
        <w:t xml:space="preserve"> identif</w:t>
      </w:r>
      <w:r w:rsidR="00313DE8" w:rsidRPr="009D3E34">
        <w:t>ied</w:t>
      </w:r>
      <w:r w:rsidR="00306491" w:rsidRPr="009D3E34">
        <w:t xml:space="preserve"> </w:t>
      </w:r>
      <w:r w:rsidR="00FF7E39" w:rsidRPr="009D3E34">
        <w:t xml:space="preserve">areas for </w:t>
      </w:r>
      <w:r w:rsidR="00306491" w:rsidRPr="009D3E34">
        <w:t>alignment.</w:t>
      </w:r>
      <w:r w:rsidRPr="009D3E34">
        <w:t xml:space="preserve"> As depicted </w:t>
      </w:r>
      <w:r w:rsidR="00B86E34" w:rsidRPr="009D3E34">
        <w:t xml:space="preserve">in depth </w:t>
      </w:r>
      <w:r w:rsidR="00313DE8" w:rsidRPr="009D3E34">
        <w:t>by interviewees</w:t>
      </w:r>
      <w:r w:rsidRPr="009D3E34">
        <w:t xml:space="preserve">, </w:t>
      </w:r>
      <w:r w:rsidR="00306491" w:rsidRPr="009D3E34">
        <w:t xml:space="preserve">the </w:t>
      </w:r>
      <w:r w:rsidR="00313DE8" w:rsidRPr="009D3E34">
        <w:t xml:space="preserve">TCFD’s </w:t>
      </w:r>
      <w:r w:rsidR="00306491" w:rsidRPr="009D3E34">
        <w:t xml:space="preserve">involvement was </w:t>
      </w:r>
      <w:r w:rsidR="00E24DA5" w:rsidRPr="009D3E34">
        <w:t>apparently</w:t>
      </w:r>
      <w:r w:rsidR="00306491" w:rsidRPr="009D3E34">
        <w:t xml:space="preserve"> unplanned and unexpected.</w:t>
      </w:r>
    </w:p>
    <w:p w14:paraId="7E9153C8" w14:textId="3C4DCE37" w:rsidR="005449E9" w:rsidRPr="009D3E34" w:rsidRDefault="005449E9" w:rsidP="002A35F0">
      <w:pPr>
        <w:pStyle w:val="nikoneindenttext15"/>
        <w:spacing w:line="240" w:lineRule="auto"/>
      </w:pPr>
      <w:r w:rsidRPr="009D3E34">
        <w:t xml:space="preserve">“I said wouldn’t it be a good idea to invite the TCFD to our meeting as we are in New York. We invited them and they came to talk about TCFD and its objectives </w:t>
      </w:r>
      <w:proofErr w:type="gramStart"/>
      <w:r w:rsidRPr="009D3E34">
        <w:t>and also</w:t>
      </w:r>
      <w:proofErr w:type="gramEnd"/>
      <w:r w:rsidRPr="009D3E34">
        <w:t xml:space="preserve"> where they looked for more harmonisation. Then in that meeting, Bloomberg Foundation was present too. Afterwards they started to talk about ‘yes, we might think of a project that the Corporate Reporting Dialogue could run as you'</w:t>
      </w:r>
      <w:r w:rsidR="00C60EC9" w:rsidRPr="009D3E34">
        <w:t>re</w:t>
      </w:r>
      <w:r w:rsidRPr="009D3E34">
        <w:t xml:space="preserve"> all at the table. You might help in achieving </w:t>
      </w:r>
      <w:r w:rsidRPr="009D3E34">
        <w:rPr>
          <w:i/>
        </w:rPr>
        <w:t>our</w:t>
      </w:r>
      <w:r w:rsidRPr="009D3E34">
        <w:t xml:space="preserve"> objectives to get one set of information on climate related risks that investors can use and recreate one data platform’. That was how got it triggered.” (C8 emphasis added).</w:t>
      </w:r>
    </w:p>
    <w:p w14:paraId="28482A0D" w14:textId="77777777" w:rsidR="005449E9" w:rsidRPr="009D3E34" w:rsidRDefault="005449E9" w:rsidP="0024667E">
      <w:pPr>
        <w:pStyle w:val="nikoneindenttext15"/>
      </w:pPr>
    </w:p>
    <w:p w14:paraId="734DD548" w14:textId="57368C83" w:rsidR="00106C57" w:rsidRPr="009D3E34" w:rsidRDefault="00106C57" w:rsidP="002A35F0">
      <w:pPr>
        <w:pStyle w:val="nikoneindenttext15"/>
        <w:spacing w:line="240" w:lineRule="auto"/>
      </w:pPr>
      <w:r w:rsidRPr="009D3E34">
        <w:t>“</w:t>
      </w:r>
      <w:r w:rsidR="00306491" w:rsidRPr="009D3E34">
        <w:t>T</w:t>
      </w:r>
      <w:r w:rsidRPr="009D3E34">
        <w:t xml:space="preserve">he </w:t>
      </w:r>
      <w:r w:rsidR="00306491" w:rsidRPr="009D3E34">
        <w:t>B</w:t>
      </w:r>
      <w:r w:rsidRPr="009D3E34">
        <w:t xml:space="preserve">etter </w:t>
      </w:r>
      <w:r w:rsidR="00306491" w:rsidRPr="009D3E34">
        <w:t>A</w:t>
      </w:r>
      <w:r w:rsidRPr="009D3E34">
        <w:t>lignment project kind of came out of the blue. We held a meeting</w:t>
      </w:r>
      <w:r w:rsidR="005415FC" w:rsidRPr="009D3E34">
        <w:t xml:space="preserve">… </w:t>
      </w:r>
      <w:r w:rsidRPr="009D3E34">
        <w:t xml:space="preserve">in </w:t>
      </w:r>
      <w:r w:rsidR="004861AB" w:rsidRPr="009D3E34">
        <w:t xml:space="preserve">April </w:t>
      </w:r>
      <w:r w:rsidRPr="009D3E34">
        <w:t xml:space="preserve">2017, and we invited TCFD to come along to explain to us what they were doing and how we could help and how they could help us, all that sort of thing. It was a good meeting. About four of them came along and … but, at the end of it the Bloomberg representative… said quite out of the blue, without being asked that they would be interested in funding a project on alignment. So, it took us about a year and a half to </w:t>
      </w:r>
      <w:proofErr w:type="gramStart"/>
      <w:r w:rsidRPr="009D3E34">
        <w:t>actually negotiate</w:t>
      </w:r>
      <w:proofErr w:type="gramEnd"/>
      <w:r w:rsidRPr="009D3E34">
        <w:t xml:space="preserve"> the project and get an agreement with the two funders… That’s how the </w:t>
      </w:r>
      <w:r w:rsidR="00306491" w:rsidRPr="009D3E34">
        <w:t>B</w:t>
      </w:r>
      <w:r w:rsidRPr="009D3E34">
        <w:t xml:space="preserve">etter </w:t>
      </w:r>
      <w:r w:rsidR="00306491" w:rsidRPr="009D3E34">
        <w:t>A</w:t>
      </w:r>
      <w:r w:rsidRPr="009D3E34">
        <w:t>lignment project came about.” (C11).</w:t>
      </w:r>
    </w:p>
    <w:p w14:paraId="48F3BAA8" w14:textId="77777777" w:rsidR="00106C57" w:rsidRPr="009D3E34" w:rsidRDefault="00106C57" w:rsidP="005D27AD">
      <w:pPr>
        <w:pStyle w:val="nikoneindenttext15"/>
      </w:pPr>
    </w:p>
    <w:p w14:paraId="7A917679" w14:textId="0A942FBB" w:rsidR="00A81965" w:rsidRPr="009D3E34" w:rsidRDefault="005D27AD" w:rsidP="005C4E7D">
      <w:pPr>
        <w:pStyle w:val="nikoneindenttext15"/>
      </w:pPr>
      <w:r w:rsidRPr="009D3E34">
        <w:t xml:space="preserve">On 7 November 2018, the Corporate Reporting Dialogue announced that its ‘Better Alignment Project’ would seek areas for alignment </w:t>
      </w:r>
      <w:r w:rsidR="00F1298F" w:rsidRPr="009D3E34">
        <w:t>between</w:t>
      </w:r>
      <w:r w:rsidRPr="009D3E34">
        <w:t xml:space="preserve"> the </w:t>
      </w:r>
      <w:r w:rsidR="007451C2" w:rsidRPr="009D3E34">
        <w:t>standards</w:t>
      </w:r>
      <w:r w:rsidRPr="009D3E34">
        <w:t xml:space="preserve"> of the IIRC, CDSB, CDP, SASB and GRI. </w:t>
      </w:r>
      <w:r w:rsidR="00B86E34" w:rsidRPr="009D3E34">
        <w:t xml:space="preserve">Bloomberg Philanthropies and another anonymous donor equally </w:t>
      </w:r>
      <w:r w:rsidR="006D6DB4" w:rsidRPr="009D3E34">
        <w:t xml:space="preserve">granted </w:t>
      </w:r>
      <w:r w:rsidR="00B86E34" w:rsidRPr="009D3E34">
        <w:t>a total of $1.6M for 2 years (O2)</w:t>
      </w:r>
      <w:r w:rsidR="00CC2664" w:rsidRPr="009D3E34">
        <w:rPr>
          <w:rStyle w:val="FootnoteReference"/>
        </w:rPr>
        <w:footnoteReference w:id="5"/>
      </w:r>
      <w:r w:rsidR="00B86E34" w:rsidRPr="009D3E34">
        <w:t xml:space="preserve">. </w:t>
      </w:r>
      <w:r w:rsidRPr="009D3E34">
        <w:t xml:space="preserve">The first phase aimed to map each </w:t>
      </w:r>
      <w:r w:rsidR="007451C2" w:rsidRPr="009D3E34">
        <w:t>standardiser</w:t>
      </w:r>
      <w:r w:rsidRPr="009D3E34">
        <w:t xml:space="preserve"> to the TCFD </w:t>
      </w:r>
      <w:proofErr w:type="gramStart"/>
      <w:r w:rsidRPr="009D3E34">
        <w:t>recommendations, and</w:t>
      </w:r>
      <w:proofErr w:type="gramEnd"/>
      <w:r w:rsidRPr="009D3E34">
        <w:t xml:space="preserve"> seek areas of integration and alignment. The second phase aimed to reduce ‘reporting fatigue’ and map disclosures between </w:t>
      </w:r>
      <w:r w:rsidR="007451C2" w:rsidRPr="009D3E34">
        <w:t>standards</w:t>
      </w:r>
      <w:r w:rsidRPr="009D3E34">
        <w:t xml:space="preserve"> (O1)</w:t>
      </w:r>
      <w:r w:rsidR="00F1298F" w:rsidRPr="009D3E34">
        <w:t>.</w:t>
      </w:r>
      <w:r w:rsidR="009308DB" w:rsidRPr="009D3E34">
        <w:t xml:space="preserve"> </w:t>
      </w:r>
      <w:r w:rsidR="00306D54" w:rsidRPr="009D3E34">
        <w:t xml:space="preserve">As noted by interviewees, the entry of a new powerful orchestrator with significant global political </w:t>
      </w:r>
      <w:r w:rsidR="005C4E7D" w:rsidRPr="009D3E34">
        <w:t>power</w:t>
      </w:r>
      <w:r w:rsidR="00306D54" w:rsidRPr="009D3E34">
        <w:t xml:space="preserve"> and resources led to a change in the focus of Dialogue activity (</w:t>
      </w:r>
      <w:r w:rsidR="005C4E7D" w:rsidRPr="009D3E34">
        <w:t xml:space="preserve">C4, </w:t>
      </w:r>
      <w:r w:rsidR="00306D54" w:rsidRPr="009D3E34">
        <w:t>C5</w:t>
      </w:r>
      <w:r w:rsidR="005C4E7D" w:rsidRPr="009D3E34">
        <w:t>, C1</w:t>
      </w:r>
      <w:r w:rsidR="00A81965" w:rsidRPr="009D3E34">
        <w:t>2)</w:t>
      </w:r>
      <w:r w:rsidR="005C4E7D" w:rsidRPr="009D3E34">
        <w:t>.</w:t>
      </w:r>
    </w:p>
    <w:p w14:paraId="3CF85565" w14:textId="64DBB152" w:rsidR="004861AB" w:rsidRPr="009D3E34" w:rsidRDefault="00054DAC" w:rsidP="00F841D7">
      <w:pPr>
        <w:pStyle w:val="nikoneindenttext15"/>
      </w:pPr>
      <w:r w:rsidRPr="009D3E34">
        <w:t xml:space="preserve">The TCFD </w:t>
      </w:r>
      <w:r w:rsidR="00657F1A" w:rsidRPr="009D3E34">
        <w:t xml:space="preserve">also </w:t>
      </w:r>
      <w:r w:rsidRPr="009D3E34">
        <w:t xml:space="preserve">appeared to be heavily influenced by Bloomberg. </w:t>
      </w:r>
      <w:r w:rsidR="001E280E" w:rsidRPr="009D3E34">
        <w:t>Michael Bloomberg</w:t>
      </w:r>
      <w:r w:rsidRPr="009D3E34">
        <w:t xml:space="preserve"> was the founder </w:t>
      </w:r>
      <w:r w:rsidR="00A72F52" w:rsidRPr="009D3E34">
        <w:t xml:space="preserve">and majority owner </w:t>
      </w:r>
      <w:r w:rsidRPr="009D3E34">
        <w:t xml:space="preserve">of </w:t>
      </w:r>
      <w:r w:rsidR="009F1E7A" w:rsidRPr="009D3E34">
        <w:t xml:space="preserve">Bloomberg LP, </w:t>
      </w:r>
      <w:r w:rsidR="001223AD" w:rsidRPr="009D3E34">
        <w:t>chair of the TCFD</w:t>
      </w:r>
      <w:r w:rsidR="00055203" w:rsidRPr="009D3E34">
        <w:t xml:space="preserve"> and</w:t>
      </w:r>
      <w:r w:rsidR="001223AD" w:rsidRPr="009D3E34">
        <w:t xml:space="preserve"> UN Secretary-General Special Envoy for Climate Action</w:t>
      </w:r>
      <w:r w:rsidR="00A72F52" w:rsidRPr="009D3E34">
        <w:t xml:space="preserve">. </w:t>
      </w:r>
      <w:r w:rsidR="00D44E15" w:rsidRPr="009D3E34">
        <w:t>The TCFD was b</w:t>
      </w:r>
      <w:r w:rsidR="00A95071" w:rsidRPr="009D3E34">
        <w:t xml:space="preserve">ased </w:t>
      </w:r>
      <w:r w:rsidR="00D44E15" w:rsidRPr="009D3E34">
        <w:t xml:space="preserve">at </w:t>
      </w:r>
      <w:r w:rsidR="00A95071" w:rsidRPr="009D3E34">
        <w:t>Bloomberg LP’s N</w:t>
      </w:r>
      <w:r w:rsidR="00D44E15" w:rsidRPr="009D3E34">
        <w:t>ew York City</w:t>
      </w:r>
      <w:r w:rsidR="00A95071" w:rsidRPr="009D3E34">
        <w:t xml:space="preserve"> headquarters</w:t>
      </w:r>
      <w:r w:rsidR="00D44E15" w:rsidRPr="009D3E34">
        <w:t xml:space="preserve"> and, b</w:t>
      </w:r>
      <w:r w:rsidR="00A72F52" w:rsidRPr="009D3E34">
        <w:t xml:space="preserve">y 2019, five of the seven </w:t>
      </w:r>
      <w:r w:rsidR="00D96893" w:rsidRPr="009D3E34">
        <w:t xml:space="preserve">TCFD </w:t>
      </w:r>
      <w:r w:rsidR="00A72F52" w:rsidRPr="009D3E34">
        <w:t xml:space="preserve">secretariat worked for Bloomberg LP (TCFD, 2019). </w:t>
      </w:r>
    </w:p>
    <w:p w14:paraId="1DF0D584" w14:textId="570513E7" w:rsidR="004861AB" w:rsidRPr="009D3E34" w:rsidRDefault="004861AB" w:rsidP="002A35F0">
      <w:pPr>
        <w:pStyle w:val="nikoneindenttext15"/>
        <w:spacing w:line="240" w:lineRule="auto"/>
      </w:pPr>
      <w:bookmarkStart w:id="13" w:name="_Hlk88643157"/>
      <w:bookmarkStart w:id="14" w:name="_Hlk88643172"/>
      <w:r w:rsidRPr="009D3E34">
        <w:t>“</w:t>
      </w:r>
      <w:r w:rsidR="006D6DB4" w:rsidRPr="009D3E34">
        <w:t>W</w:t>
      </w:r>
      <w:r w:rsidRPr="009D3E34">
        <w:t>hen they did their final report, the TCFD said in chapter E that there are some</w:t>
      </w:r>
      <w:r w:rsidR="006D6DB4" w:rsidRPr="009D3E34">
        <w:t xml:space="preserve"> </w:t>
      </w:r>
      <w:r w:rsidRPr="009D3E34">
        <w:t>things we haven’t been able to tackle and one of those things is how to get more standardisation amongst the voluntary frameworks. And since Mayor Michael Bloomberg was the co-chair, I think Bloomberg decided to spend some money on addressing exactly that point</w:t>
      </w:r>
      <w:r w:rsidR="006D6DB4" w:rsidRPr="009D3E34">
        <w:t xml:space="preserve">... </w:t>
      </w:r>
      <w:r w:rsidRPr="009D3E34">
        <w:t>and this is the ou</w:t>
      </w:r>
      <w:bookmarkEnd w:id="13"/>
      <w:r w:rsidRPr="009D3E34">
        <w:t>tcome.” (S3)</w:t>
      </w:r>
    </w:p>
    <w:p w14:paraId="0489A25C" w14:textId="77777777" w:rsidR="004861AB" w:rsidRPr="009D3E34" w:rsidRDefault="004861AB" w:rsidP="00F841D7">
      <w:pPr>
        <w:pStyle w:val="nikoneindenttext15"/>
      </w:pPr>
    </w:p>
    <w:p w14:paraId="4EA258BD" w14:textId="22C2BE36" w:rsidR="006E7338" w:rsidRPr="009D3E34" w:rsidRDefault="00CC3CB1" w:rsidP="00CC3CB1">
      <w:pPr>
        <w:pStyle w:val="nikoneindenttext15"/>
      </w:pPr>
      <w:bookmarkStart w:id="15" w:name="_Hlk88643477"/>
      <w:bookmarkEnd w:id="14"/>
      <w:r w:rsidRPr="009D3E34">
        <w:t>Michael Bloomberg’s influence was described by one interviewee as “interesting” given “he is also a sponsor of some of the organisations individually” (C5)</w:t>
      </w:r>
      <w:r w:rsidR="00922740" w:rsidRPr="009D3E34">
        <w:t xml:space="preserve">. </w:t>
      </w:r>
      <w:r w:rsidR="00D831AE" w:rsidRPr="009D3E34">
        <w:t xml:space="preserve">For example, </w:t>
      </w:r>
      <w:r w:rsidR="00360C10" w:rsidRPr="009D3E34">
        <w:t xml:space="preserve">he was </w:t>
      </w:r>
      <w:r w:rsidR="0082572F" w:rsidRPr="009D3E34">
        <w:t xml:space="preserve">the </w:t>
      </w:r>
      <w:r w:rsidR="00360C10" w:rsidRPr="009D3E34">
        <w:t xml:space="preserve">chair emeritus of </w:t>
      </w:r>
      <w:r w:rsidR="00D831AE" w:rsidRPr="009D3E34">
        <w:t xml:space="preserve">SASB’s </w:t>
      </w:r>
      <w:r w:rsidR="00360C10" w:rsidRPr="009D3E34">
        <w:t>Foundation Board whilst Bloomberg LP was a SASB ‘founding partner’ “providing crucial expertise from Bloomberg specialists and significant grant support from Bloomberg Philanthropies” (Bloomberg, 2019a:3 nnr111). Bloomberg LP also served “as a consultant and funder” to the Corporate Reporting Dialogue (Bloomberg LP, 2019b:14), whilst Bloomberg’s philanthropic foundation, Bloomberg Philanthropies, provided one half of the funding for the Better Alignment Project.</w:t>
      </w:r>
      <w:bookmarkEnd w:id="15"/>
    </w:p>
    <w:p w14:paraId="113186AE" w14:textId="2407D5E4" w:rsidR="004C0FD5" w:rsidRPr="009D3E34" w:rsidRDefault="00091F4A" w:rsidP="00A509A9">
      <w:pPr>
        <w:pStyle w:val="nikoneindenttext15"/>
      </w:pPr>
      <w:r w:rsidRPr="009D3E34">
        <w:t>Bloomberg</w:t>
      </w:r>
      <w:r w:rsidR="009F1E7A" w:rsidRPr="009D3E34">
        <w:t xml:space="preserve"> LP</w:t>
      </w:r>
      <w:r w:rsidRPr="009D3E34">
        <w:t>’s former sustainability manager</w:t>
      </w:r>
      <w:r w:rsidR="005927E6" w:rsidRPr="009D3E34">
        <w:t xml:space="preserve">, who </w:t>
      </w:r>
      <w:r w:rsidR="007E0000" w:rsidRPr="009D3E34">
        <w:t xml:space="preserve">also </w:t>
      </w:r>
      <w:r w:rsidR="005927E6" w:rsidRPr="009D3E34">
        <w:t xml:space="preserve">formed </w:t>
      </w:r>
      <w:r w:rsidRPr="009D3E34">
        <w:t>part of the TCFD Secretariat</w:t>
      </w:r>
      <w:r w:rsidR="005927E6" w:rsidRPr="009D3E34">
        <w:t xml:space="preserve">, opined on </w:t>
      </w:r>
      <w:r w:rsidR="009F1E7A" w:rsidRPr="009D3E34">
        <w:t>their</w:t>
      </w:r>
      <w:r w:rsidR="005927E6" w:rsidRPr="009D3E34">
        <w:t xml:space="preserve"> approach</w:t>
      </w:r>
      <w:r w:rsidR="0076688D" w:rsidRPr="009D3E34">
        <w:t xml:space="preserve">. </w:t>
      </w:r>
      <w:r w:rsidR="00054DAC" w:rsidRPr="009D3E34">
        <w:t xml:space="preserve">“There’s a tremendous lot of sustainability information out there that is disclosed by a lot of companies, but that’s not specifically </w:t>
      </w:r>
      <w:r w:rsidR="00054DAC" w:rsidRPr="009D3E34">
        <w:rPr>
          <w:i/>
          <w:iCs/>
        </w:rPr>
        <w:t>designed for investors</w:t>
      </w:r>
      <w:r w:rsidRPr="009D3E34">
        <w:t xml:space="preserve">… </w:t>
      </w:r>
      <w:r w:rsidR="00054DAC" w:rsidRPr="009D3E34">
        <w:t>We thought that because of our unique relationship with companies and investors and because of our founder, Mike Bloomberg, we had a role to play in sorting through and helping develop standards</w:t>
      </w:r>
      <w:r w:rsidRPr="009D3E34">
        <w:t xml:space="preserve"> </w:t>
      </w:r>
      <w:r w:rsidR="00054DAC" w:rsidRPr="009D3E34">
        <w:t>(Green, 201</w:t>
      </w:r>
      <w:r w:rsidR="007361E6" w:rsidRPr="009D3E34">
        <w:t>7</w:t>
      </w:r>
      <w:r w:rsidR="00054DAC" w:rsidRPr="009D3E34">
        <w:t xml:space="preserve">:3 </w:t>
      </w:r>
      <w:r w:rsidR="00DA4CDF" w:rsidRPr="009D3E34">
        <w:rPr>
          <w:i/>
          <w:iCs/>
        </w:rPr>
        <w:t>emphasis added</w:t>
      </w:r>
      <w:r w:rsidR="00054DAC" w:rsidRPr="009D3E34">
        <w:t>).</w:t>
      </w:r>
      <w:r w:rsidR="002701DA" w:rsidRPr="009D3E34">
        <w:t xml:space="preserve"> </w:t>
      </w:r>
      <w:proofErr w:type="gramStart"/>
      <w:r w:rsidR="002701DA" w:rsidRPr="009D3E34">
        <w:t>As a consequence</w:t>
      </w:r>
      <w:proofErr w:type="gramEnd"/>
      <w:r w:rsidR="002701DA" w:rsidRPr="009D3E34">
        <w:t xml:space="preserve">, </w:t>
      </w:r>
      <w:r w:rsidR="00A509A9" w:rsidRPr="009D3E34">
        <w:t>interviewees</w:t>
      </w:r>
      <w:r w:rsidR="001E60F0" w:rsidRPr="009D3E34">
        <w:t xml:space="preserve"> referred to the </w:t>
      </w:r>
      <w:r w:rsidR="00557951" w:rsidRPr="009D3E34">
        <w:t xml:space="preserve">power and </w:t>
      </w:r>
      <w:r w:rsidR="001E60F0" w:rsidRPr="009D3E34">
        <w:t>influence of Bloomberg in driving the Corporate Reporting Dialogue</w:t>
      </w:r>
      <w:r w:rsidR="00A509A9" w:rsidRPr="009D3E34">
        <w:t xml:space="preserve"> to harmonise standards consistent with the interests of Bloomberg LP (C6)</w:t>
      </w:r>
      <w:r w:rsidR="001E60F0" w:rsidRPr="009D3E34">
        <w:t>.</w:t>
      </w:r>
      <w:r w:rsidR="00A509A9" w:rsidRPr="009D3E34">
        <w:t xml:space="preserve"> For example, </w:t>
      </w:r>
    </w:p>
    <w:p w14:paraId="56721C6E" w14:textId="6106BAC4" w:rsidR="004A6275" w:rsidRPr="009D3E34" w:rsidRDefault="004A6275" w:rsidP="002A35F0">
      <w:pPr>
        <w:pStyle w:val="nikoneindenttext15"/>
        <w:spacing w:line="240" w:lineRule="auto"/>
      </w:pPr>
      <w:r w:rsidRPr="009D3E34">
        <w:t>“Clearly these alignment efforts can support... the development of the Bloomberg platform so it had this dataset that investors can then use in analysis and suchlike.” (</w:t>
      </w:r>
      <w:r w:rsidR="00F800BF" w:rsidRPr="009D3E34">
        <w:t>S5</w:t>
      </w:r>
      <w:r w:rsidRPr="009D3E34">
        <w:t>)</w:t>
      </w:r>
    </w:p>
    <w:p w14:paraId="7D253B92" w14:textId="48CCE12A" w:rsidR="004C0FD5" w:rsidRPr="009D3E34" w:rsidRDefault="004C0FD5" w:rsidP="001E60F0">
      <w:pPr>
        <w:pStyle w:val="nikoneindenttext15"/>
      </w:pPr>
    </w:p>
    <w:p w14:paraId="23B91226" w14:textId="6FD8E9B8" w:rsidR="00D67EE0" w:rsidRPr="009D3E34" w:rsidRDefault="00303AB8" w:rsidP="008A1284">
      <w:pPr>
        <w:pStyle w:val="nikoneindenttext15"/>
      </w:pPr>
      <w:r w:rsidRPr="009D3E34">
        <w:t xml:space="preserve">Funding, representation and influence all act as mechanisms </w:t>
      </w:r>
      <w:r w:rsidR="00FD68E5" w:rsidRPr="009D3E34">
        <w:t>that can</w:t>
      </w:r>
      <w:r w:rsidRPr="009D3E34">
        <w:t xml:space="preserve"> enable the exercise of covert power by philanthropic organisations. </w:t>
      </w:r>
      <w:r w:rsidR="00A509A9" w:rsidRPr="009D3E34">
        <w:t>However, critics of such ‘</w:t>
      </w:r>
      <w:proofErr w:type="spellStart"/>
      <w:r w:rsidR="00A509A9" w:rsidRPr="009D3E34">
        <w:t>philanthrocapitalism</w:t>
      </w:r>
      <w:proofErr w:type="spellEnd"/>
      <w:r w:rsidR="00A509A9" w:rsidRPr="009D3E34">
        <w:t>’ question whether philanthropic foundations prioritise interventions that suit their interests, and whether those interests are commensurate with public welfare (</w:t>
      </w:r>
      <w:proofErr w:type="spellStart"/>
      <w:r w:rsidR="00A509A9" w:rsidRPr="009D3E34">
        <w:t>McGoey</w:t>
      </w:r>
      <w:proofErr w:type="spellEnd"/>
      <w:r w:rsidR="00A509A9" w:rsidRPr="009D3E34">
        <w:t xml:space="preserve">, 2012). </w:t>
      </w:r>
      <w:r w:rsidR="00566FCC" w:rsidRPr="009D3E34">
        <w:t xml:space="preserve">As Bloomberg represented one of the world’s leading data providers of structured, comparable financial and ‘ESG’ data explicitly aimed at financial investors within capital markets, it </w:t>
      </w:r>
      <w:r w:rsidRPr="009D3E34">
        <w:t xml:space="preserve">presumably </w:t>
      </w:r>
      <w:r w:rsidR="00566FCC" w:rsidRPr="009D3E34">
        <w:t xml:space="preserve">had an interest in supporting investor-orientated sustainability reporting standards that could promote comparable disclosures. </w:t>
      </w:r>
      <w:r w:rsidR="00B76512" w:rsidRPr="009D3E34">
        <w:t xml:space="preserve">As Adams &amp; </w:t>
      </w:r>
      <w:proofErr w:type="spellStart"/>
      <w:r w:rsidR="00B76512" w:rsidRPr="009D3E34">
        <w:t>Abhayawansa</w:t>
      </w:r>
      <w:proofErr w:type="spellEnd"/>
      <w:r w:rsidR="00B76512" w:rsidRPr="009D3E34">
        <w:t xml:space="preserve"> (2021:10) observe, “a metrics-based approach would benefit ESG ranking and rating agencies and ESG data and index providers who have struggled to compare companies”. </w:t>
      </w:r>
      <w:r w:rsidR="00D67EE0" w:rsidRPr="009D3E34">
        <w:t>Not all participants were supportive of the change in direction.</w:t>
      </w:r>
      <w:r w:rsidR="00FD68E5" w:rsidRPr="009D3E34">
        <w:t xml:space="preserve"> For example,</w:t>
      </w:r>
    </w:p>
    <w:p w14:paraId="7F666406" w14:textId="6C00F645" w:rsidR="00D67EE0" w:rsidRPr="009D3E34" w:rsidRDefault="00D67EE0" w:rsidP="002A35F0">
      <w:pPr>
        <w:pStyle w:val="nikoneindenttext15"/>
        <w:spacing w:line="240" w:lineRule="auto"/>
      </w:pPr>
      <w:r w:rsidRPr="009D3E34">
        <w:t>“</w:t>
      </w:r>
      <w:proofErr w:type="gramStart"/>
      <w:r w:rsidRPr="009D3E34">
        <w:t>it</w:t>
      </w:r>
      <w:proofErr w:type="gramEnd"/>
      <w:r w:rsidRPr="009D3E34">
        <w:t xml:space="preserve"> seems to become the big, sexy thing on the block and the worry is then does that push out the ongoing work that's happening in other areas and this is like having Jabba the Hut</w:t>
      </w:r>
      <w:r w:rsidR="00F97EC7" w:rsidRPr="009D3E34">
        <w:t>t</w:t>
      </w:r>
      <w:r w:rsidRPr="009D3E34">
        <w:t xml:space="preserve"> storming in” (</w:t>
      </w:r>
      <w:r w:rsidR="00323888" w:rsidRPr="009D3E34">
        <w:t>C9</w:t>
      </w:r>
      <w:r w:rsidRPr="009D3E34">
        <w:t>)</w:t>
      </w:r>
    </w:p>
    <w:p w14:paraId="1381BA36" w14:textId="72D1566C" w:rsidR="00D67EE0" w:rsidRPr="009D3E34" w:rsidRDefault="00D67EE0" w:rsidP="0076688D">
      <w:pPr>
        <w:pStyle w:val="nikoneindenttext15"/>
      </w:pPr>
    </w:p>
    <w:p w14:paraId="4CAC127A" w14:textId="45FF3F02" w:rsidR="009F1E7A" w:rsidRPr="009D3E34" w:rsidRDefault="00031B2C" w:rsidP="009305EA">
      <w:pPr>
        <w:pStyle w:val="nikoneindenttext15"/>
      </w:pPr>
      <w:r w:rsidRPr="009D3E34">
        <w:t xml:space="preserve">The </w:t>
      </w:r>
      <w:r w:rsidR="00140498" w:rsidRPr="009D3E34">
        <w:t xml:space="preserve">orchestrator and </w:t>
      </w:r>
      <w:r w:rsidRPr="009D3E34">
        <w:t>foc</w:t>
      </w:r>
      <w:r w:rsidR="00140498" w:rsidRPr="009D3E34">
        <w:t xml:space="preserve">al point </w:t>
      </w:r>
      <w:r w:rsidRPr="009D3E34">
        <w:t xml:space="preserve">of alignment </w:t>
      </w:r>
      <w:r w:rsidR="0051352A" w:rsidRPr="009D3E34">
        <w:t xml:space="preserve">had </w:t>
      </w:r>
      <w:r w:rsidR="00AB6393" w:rsidRPr="009D3E34">
        <w:t xml:space="preserve">clearly </w:t>
      </w:r>
      <w:r w:rsidRPr="009D3E34">
        <w:t>shifted from the IIRC to the TCFD</w:t>
      </w:r>
      <w:r w:rsidR="00F06912" w:rsidRPr="009D3E34">
        <w:t xml:space="preserve"> and </w:t>
      </w:r>
      <w:r w:rsidR="00D265F8" w:rsidRPr="009D3E34">
        <w:t xml:space="preserve">its benefactors such as </w:t>
      </w:r>
      <w:r w:rsidR="00F06912" w:rsidRPr="009D3E34">
        <w:t>Bloomberg</w:t>
      </w:r>
      <w:r w:rsidRPr="009D3E34">
        <w:t>.</w:t>
      </w:r>
      <w:r w:rsidR="00756EFD" w:rsidRPr="009D3E34">
        <w:t xml:space="preserve"> </w:t>
      </w:r>
      <w:r w:rsidR="005B5FD8" w:rsidRPr="009D3E34">
        <w:t>Consistent with the interests of Bloomberg LP</w:t>
      </w:r>
      <w:r w:rsidR="00C56888" w:rsidRPr="009D3E34">
        <w:t xml:space="preserve">, the role of the Corporate Reporting </w:t>
      </w:r>
      <w:r w:rsidR="007E0000" w:rsidRPr="009D3E34">
        <w:t xml:space="preserve">Dialogue </w:t>
      </w:r>
      <w:r w:rsidR="005B5FD8" w:rsidRPr="009D3E34">
        <w:t xml:space="preserve">retained a focus on </w:t>
      </w:r>
      <w:r w:rsidR="007E0000" w:rsidRPr="009D3E34">
        <w:t xml:space="preserve">constructing </w:t>
      </w:r>
      <w:r w:rsidR="009F1E7A" w:rsidRPr="009D3E34">
        <w:t xml:space="preserve">a consensus </w:t>
      </w:r>
      <w:r w:rsidR="008A1284" w:rsidRPr="009D3E34">
        <w:t xml:space="preserve">around a vision of </w:t>
      </w:r>
      <w:r w:rsidR="007E0000" w:rsidRPr="009D3E34">
        <w:t xml:space="preserve">reporting </w:t>
      </w:r>
      <w:r w:rsidR="00E94BE5" w:rsidRPr="009D3E34">
        <w:t xml:space="preserve">designed </w:t>
      </w:r>
      <w:r w:rsidR="007E0000" w:rsidRPr="009D3E34">
        <w:t xml:space="preserve">for </w:t>
      </w:r>
      <w:r w:rsidR="00E94BE5" w:rsidRPr="009D3E34">
        <w:t>the needs of financial investors. In doing so, visions of sustainability reporting that focus on corporate impacts on society and the planet are marginalised</w:t>
      </w:r>
      <w:r w:rsidR="00140498" w:rsidRPr="009D3E34">
        <w:t xml:space="preserve">, alongside those Corporate Reporting Dialogue </w:t>
      </w:r>
      <w:r w:rsidR="008A1284" w:rsidRPr="009D3E34">
        <w:t xml:space="preserve">members </w:t>
      </w:r>
      <w:r w:rsidR="00140498" w:rsidRPr="009D3E34">
        <w:t>sympathetic to that vision</w:t>
      </w:r>
      <w:r w:rsidR="001B1A27" w:rsidRPr="009D3E34">
        <w:t>.</w:t>
      </w:r>
      <w:r w:rsidR="00140498" w:rsidRPr="009D3E34">
        <w:t xml:space="preserve"> </w:t>
      </w:r>
      <w:r w:rsidR="00E714DF" w:rsidRPr="009D3E34">
        <w:t xml:space="preserve">Whilst </w:t>
      </w:r>
      <w:r w:rsidR="009F1E7A" w:rsidRPr="009D3E34">
        <w:t>th</w:t>
      </w:r>
      <w:r w:rsidR="00E714DF" w:rsidRPr="009D3E34">
        <w:t>e emphasis had moved from a wider perspective on the relationship between corporate activity and social and environmental changes</w:t>
      </w:r>
      <w:r w:rsidR="00E94BE5" w:rsidRPr="009D3E34">
        <w:t xml:space="preserve">, to </w:t>
      </w:r>
      <w:r w:rsidR="00281B93" w:rsidRPr="009D3E34">
        <w:t xml:space="preserve">a narrower </w:t>
      </w:r>
      <w:r w:rsidR="00E94BE5" w:rsidRPr="009D3E34">
        <w:t>one focused on the financial risks posed by climate-change</w:t>
      </w:r>
      <w:r w:rsidR="005B5FD8" w:rsidRPr="009D3E34">
        <w:t>, consistent with the remit of the TCFD</w:t>
      </w:r>
      <w:r w:rsidR="00E714DF" w:rsidRPr="009D3E34">
        <w:t>, reporting was still restricted to</w:t>
      </w:r>
      <w:r w:rsidR="009F1E7A" w:rsidRPr="009D3E34">
        <w:t xml:space="preserve"> those issues deemed relevant to the decisions made by financial investors.</w:t>
      </w:r>
    </w:p>
    <w:p w14:paraId="3098DBAF" w14:textId="178EBC24" w:rsidR="00756EFD" w:rsidRPr="009D3E34" w:rsidRDefault="00756EFD" w:rsidP="009305EA">
      <w:pPr>
        <w:pStyle w:val="nikoneindenttext15"/>
      </w:pPr>
    </w:p>
    <w:p w14:paraId="47A4B4D8" w14:textId="3D27955D" w:rsidR="00226590" w:rsidRPr="009D3E34" w:rsidRDefault="00226590" w:rsidP="00226590">
      <w:pPr>
        <w:pStyle w:val="niksemisubtitle"/>
      </w:pPr>
      <w:r w:rsidRPr="009D3E34">
        <w:t>4.</w:t>
      </w:r>
      <w:r w:rsidR="00FD68E5" w:rsidRPr="009D3E34">
        <w:t>4</w:t>
      </w:r>
      <w:r w:rsidRPr="009D3E34">
        <w:t xml:space="preserve"> Alignment</w:t>
      </w:r>
      <w:r w:rsidR="00667096" w:rsidRPr="009D3E34">
        <w:t xml:space="preserve"> and </w:t>
      </w:r>
      <w:r w:rsidRPr="009D3E34">
        <w:t>Division</w:t>
      </w:r>
    </w:p>
    <w:p w14:paraId="7A111CBC" w14:textId="6F8B1E0B" w:rsidR="003A4FD7" w:rsidRPr="009D3E34" w:rsidRDefault="002701DA" w:rsidP="003A4FD7">
      <w:pPr>
        <w:pStyle w:val="nikoneindenttext15"/>
      </w:pPr>
      <w:r w:rsidRPr="009D3E34">
        <w:t>The C</w:t>
      </w:r>
      <w:r w:rsidR="00756EFD" w:rsidRPr="009D3E34">
        <w:t xml:space="preserve">orporate </w:t>
      </w:r>
      <w:r w:rsidRPr="009D3E34">
        <w:t>R</w:t>
      </w:r>
      <w:r w:rsidR="00756EFD" w:rsidRPr="009D3E34">
        <w:t xml:space="preserve">eporting </w:t>
      </w:r>
      <w:r w:rsidRPr="009D3E34">
        <w:t>D</w:t>
      </w:r>
      <w:r w:rsidR="00756EFD" w:rsidRPr="009D3E34">
        <w:t>ialogue</w:t>
      </w:r>
      <w:r w:rsidRPr="009D3E34">
        <w:t xml:space="preserve"> released its ‘year 1’ report from the </w:t>
      </w:r>
      <w:r w:rsidR="00756EFD" w:rsidRPr="009D3E34">
        <w:t>B</w:t>
      </w:r>
      <w:r w:rsidRPr="009D3E34">
        <w:t xml:space="preserve">etter </w:t>
      </w:r>
      <w:r w:rsidR="00756EFD" w:rsidRPr="009D3E34">
        <w:t>A</w:t>
      </w:r>
      <w:r w:rsidRPr="009D3E34">
        <w:t xml:space="preserve">lignment project ‘Driving Alignment in Climate-Related Reporting’ </w:t>
      </w:r>
      <w:r w:rsidR="003A4FD7" w:rsidRPr="009D3E34">
        <w:t xml:space="preserve">in September 2019 </w:t>
      </w:r>
      <w:r w:rsidRPr="009D3E34">
        <w:t>(CRD, 2019).</w:t>
      </w:r>
      <w:r w:rsidR="003A4FD7" w:rsidRPr="009D3E34">
        <w:t xml:space="preserve"> The frameworks of the five participating standardisers (CDP, CDSB, GRI, IIRC, SASB) were mapped against TCFD disclosure principles and recommended disclosures, whilst CDP, GRI and SASB metrics were mapped against the TCFD illustrative example metrics.</w:t>
      </w:r>
    </w:p>
    <w:p w14:paraId="30CA112A" w14:textId="4606E24F" w:rsidR="007109F1" w:rsidRPr="009D3E34" w:rsidRDefault="003A4FD7" w:rsidP="007109F1">
      <w:pPr>
        <w:pStyle w:val="nikoneindenttext15"/>
      </w:pPr>
      <w:r w:rsidRPr="009D3E34">
        <w:t xml:space="preserve">In the mapping exercise, “each participant determined the level of alignment” </w:t>
      </w:r>
      <w:r w:rsidR="007109F1" w:rsidRPr="009D3E34">
        <w:t xml:space="preserve">for disclosure principles </w:t>
      </w:r>
      <w:r w:rsidRPr="009D3E34">
        <w:t xml:space="preserve">which were then verified by the project lead (CRD, 2019:17). </w:t>
      </w:r>
      <w:r w:rsidR="007109F1" w:rsidRPr="009D3E34">
        <w:t>Perhaps unsurprisingly given the mapping exercise was largely based on self-assessment, it was concluded that “overall, the Participants' frameworks and standards align well with the TCFD's 11 recommended disclosures" (CRD, 2019:213).</w:t>
      </w:r>
    </w:p>
    <w:p w14:paraId="603A743B" w14:textId="633F47C8" w:rsidR="00C73F1E" w:rsidRPr="009D3E34" w:rsidRDefault="008D1766" w:rsidP="00856618">
      <w:pPr>
        <w:pStyle w:val="nikoneindenttext15"/>
      </w:pPr>
      <w:r w:rsidRPr="009D3E34">
        <w:t>However, th</w:t>
      </w:r>
      <w:r w:rsidR="00FD68E5" w:rsidRPr="009D3E34">
        <w:t>is</w:t>
      </w:r>
      <w:r w:rsidRPr="009D3E34">
        <w:t xml:space="preserve"> orchestrated consensus could not fully obscure key fundamental political differences between standardisers: whether firms should report on </w:t>
      </w:r>
      <w:r w:rsidR="00D445C4" w:rsidRPr="009D3E34">
        <w:t xml:space="preserve">the impact of their activity, or </w:t>
      </w:r>
      <w:r w:rsidRPr="009D3E34">
        <w:t xml:space="preserve">whether they should </w:t>
      </w:r>
      <w:r w:rsidR="00D445C4" w:rsidRPr="009D3E34">
        <w:t xml:space="preserve">only </w:t>
      </w:r>
      <w:r w:rsidRPr="009D3E34">
        <w:t xml:space="preserve">report on </w:t>
      </w:r>
      <w:r w:rsidR="00D445C4" w:rsidRPr="009D3E34">
        <w:t xml:space="preserve">those issues that are perceived to be material </w:t>
      </w:r>
      <w:r w:rsidR="005727FD" w:rsidRPr="009D3E34">
        <w:t xml:space="preserve">in assessing </w:t>
      </w:r>
      <w:r w:rsidRPr="009D3E34">
        <w:t xml:space="preserve">future corporate </w:t>
      </w:r>
      <w:r w:rsidR="00676BA9" w:rsidRPr="009D3E34">
        <w:t>value</w:t>
      </w:r>
      <w:r w:rsidRPr="009D3E34">
        <w:t xml:space="preserve">. </w:t>
      </w:r>
      <w:r w:rsidR="00C73F1E" w:rsidRPr="009D3E34">
        <w:t>These fundamental ‘fault</w:t>
      </w:r>
      <w:r w:rsidR="005D78B7" w:rsidRPr="009D3E34">
        <w:t xml:space="preserve"> </w:t>
      </w:r>
      <w:r w:rsidR="00C73F1E" w:rsidRPr="009D3E34">
        <w:t>lines’ were couched in depoliticised or technical standard-setting language</w:t>
      </w:r>
      <w:r w:rsidR="00FE686E" w:rsidRPr="009D3E34">
        <w:t xml:space="preserve"> that obscured the tension between cooperation and competition</w:t>
      </w:r>
      <w:r w:rsidR="00C73F1E" w:rsidRPr="009D3E34">
        <w:t xml:space="preserve">. For example, </w:t>
      </w:r>
      <w:r w:rsidR="00756EFD" w:rsidRPr="009D3E34">
        <w:t>each of the participants “has a unique outlook and ambition” (CRD, 2019:3)</w:t>
      </w:r>
      <w:r w:rsidR="00C73F1E" w:rsidRPr="009D3E34">
        <w:t xml:space="preserve"> and </w:t>
      </w:r>
      <w:r w:rsidR="00756EFD" w:rsidRPr="009D3E34">
        <w:t>“the perceived differences in the application of the concept of materiality employed by the different frameworks and standards was noted by preparers and users to be a challenge for effective disclosure” (CRD, 2019:8)</w:t>
      </w:r>
      <w:r w:rsidR="00C73F1E" w:rsidRPr="009D3E34">
        <w:t xml:space="preserve">. </w:t>
      </w:r>
      <w:r w:rsidR="007B71EF" w:rsidRPr="009D3E34">
        <w:t>While</w:t>
      </w:r>
      <w:r w:rsidR="00856618" w:rsidRPr="009D3E34">
        <w:t xml:space="preserve"> t</w:t>
      </w:r>
      <w:r w:rsidR="00C73F1E" w:rsidRPr="009D3E34">
        <w:t xml:space="preserve">he report glossed over the </w:t>
      </w:r>
      <w:r w:rsidR="00856618" w:rsidRPr="009D3E34">
        <w:t xml:space="preserve">ideological </w:t>
      </w:r>
      <w:r w:rsidR="00C73F1E" w:rsidRPr="009D3E34">
        <w:t xml:space="preserve">differences </w:t>
      </w:r>
      <w:r w:rsidR="00856618" w:rsidRPr="009D3E34">
        <w:t xml:space="preserve">in deciding </w:t>
      </w:r>
      <w:r w:rsidR="00856618" w:rsidRPr="009D3E34">
        <w:lastRenderedPageBreak/>
        <w:t xml:space="preserve">what information was considered material, </w:t>
      </w:r>
      <w:r w:rsidR="005D78B7" w:rsidRPr="009D3E34">
        <w:t xml:space="preserve">the consensus presented </w:t>
      </w:r>
      <w:r w:rsidR="00FA3FEF" w:rsidRPr="009D3E34">
        <w:t>seem</w:t>
      </w:r>
      <w:r w:rsidR="00E65909" w:rsidRPr="009D3E34">
        <w:t>ed</w:t>
      </w:r>
      <w:r w:rsidR="00FA3FEF" w:rsidRPr="009D3E34">
        <w:t xml:space="preserve"> somewhat inconsistent</w:t>
      </w:r>
      <w:r w:rsidR="005D78B7" w:rsidRPr="009D3E34">
        <w:t xml:space="preserve"> </w:t>
      </w:r>
      <w:r w:rsidR="00FA3FEF" w:rsidRPr="009D3E34">
        <w:t xml:space="preserve">with </w:t>
      </w:r>
      <w:r w:rsidR="005D78B7" w:rsidRPr="009D3E34">
        <w:t>the TCFD</w:t>
      </w:r>
      <w:r w:rsidR="00FA3FEF" w:rsidRPr="009D3E34">
        <w:t xml:space="preserve"> who </w:t>
      </w:r>
      <w:r w:rsidR="00904973" w:rsidRPr="009D3E34">
        <w:t>conclude</w:t>
      </w:r>
      <w:r w:rsidR="00E65909" w:rsidRPr="009D3E34">
        <w:t>d</w:t>
      </w:r>
      <w:r w:rsidR="00904973" w:rsidRPr="009D3E34">
        <w:t xml:space="preserve"> </w:t>
      </w:r>
      <w:r w:rsidR="005D78B7" w:rsidRPr="009D3E34">
        <w:t xml:space="preserve">that </w:t>
      </w:r>
      <w:r w:rsidR="00FA3FEF" w:rsidRPr="009D3E34">
        <w:t xml:space="preserve">“climate-related issues are or could be material for many companies” </w:t>
      </w:r>
      <w:r w:rsidR="00E65909" w:rsidRPr="009D3E34">
        <w:t xml:space="preserve">and cautioned against assuming climate-change risks are not material given their perceived longer-term impacts </w:t>
      </w:r>
      <w:r w:rsidR="00FA3FEF" w:rsidRPr="009D3E34">
        <w:t>(TCFD, 2018:3)</w:t>
      </w:r>
      <w:r w:rsidR="005D78B7" w:rsidRPr="009D3E34">
        <w:t>.</w:t>
      </w:r>
    </w:p>
    <w:p w14:paraId="7D7B9E08" w14:textId="0DB1A331" w:rsidR="003F4BE5" w:rsidRPr="009D3E34" w:rsidRDefault="003F4BE5" w:rsidP="00F73F54">
      <w:pPr>
        <w:pStyle w:val="nikoneindenttext15"/>
      </w:pPr>
      <w:r w:rsidRPr="009D3E34">
        <w:t xml:space="preserve">During this time, a public spat </w:t>
      </w:r>
      <w:r w:rsidR="00FB3C31" w:rsidRPr="009D3E34">
        <w:t xml:space="preserve">observed at the Asia Sustainability Reporting Summit (Singapore, September 2019) </w:t>
      </w:r>
      <w:r w:rsidRPr="009D3E34">
        <w:t xml:space="preserve">highlighted the competitive tensions between </w:t>
      </w:r>
      <w:r w:rsidR="00FB3C31" w:rsidRPr="009D3E34">
        <w:t xml:space="preserve">individual standardisers </w:t>
      </w:r>
      <w:r w:rsidRPr="009D3E34">
        <w:t>that the Corporate Reporting Dialogue tried to suppress.</w:t>
      </w:r>
      <w:r w:rsidR="00F73F54" w:rsidRPr="009D3E34">
        <w:t xml:space="preserve"> </w:t>
      </w:r>
      <w:r w:rsidR="00FB3C31" w:rsidRPr="009D3E34">
        <w:t>A</w:t>
      </w:r>
      <w:r w:rsidR="00F73F54" w:rsidRPr="009D3E34">
        <w:t xml:space="preserve"> debate, ‘is mandatory better?’, develop</w:t>
      </w:r>
      <w:r w:rsidR="00FB3C31" w:rsidRPr="009D3E34">
        <w:t>ed</w:t>
      </w:r>
      <w:r w:rsidR="00F73F54" w:rsidRPr="009D3E34">
        <w:t xml:space="preserve"> into a row between the CEOs of the GRI and the SASB.</w:t>
      </w:r>
      <w:r w:rsidR="00FB3C31" w:rsidRPr="009D3E34">
        <w:t xml:space="preserve"> After the GRI’s Tim </w:t>
      </w:r>
      <w:proofErr w:type="spellStart"/>
      <w:r w:rsidR="00FB3C31" w:rsidRPr="009D3E34">
        <w:t>Mohin</w:t>
      </w:r>
      <w:proofErr w:type="spellEnd"/>
      <w:r w:rsidR="00FB3C31" w:rsidRPr="009D3E34">
        <w:t xml:space="preserve"> noted, that “we cannot rely solely on the test of financial materiality. If ESG issues were financially material, we would not have ESG issues”, SASB’s Madelyn </w:t>
      </w:r>
      <w:proofErr w:type="spellStart"/>
      <w:r w:rsidR="00FB3C31" w:rsidRPr="009D3E34">
        <w:t>Antoncic</w:t>
      </w:r>
      <w:proofErr w:type="spellEnd"/>
      <w:r w:rsidR="00FB3C31" w:rsidRPr="009D3E34">
        <w:t xml:space="preserve"> responded that they would </w:t>
      </w:r>
      <w:r w:rsidR="00F73F54" w:rsidRPr="009D3E34">
        <w:t xml:space="preserve">not change </w:t>
      </w:r>
      <w:r w:rsidR="00FB3C31" w:rsidRPr="009D3E34">
        <w:t>their</w:t>
      </w:r>
      <w:r w:rsidR="00F73F54" w:rsidRPr="009D3E34">
        <w:t xml:space="preserve"> principles</w:t>
      </w:r>
      <w:r w:rsidR="00FB3C31" w:rsidRPr="009D3E34">
        <w:t>:</w:t>
      </w:r>
      <w:r w:rsidR="00F73F54" w:rsidRPr="009D3E34">
        <w:t xml:space="preserve"> “ours are financial materiality, theirs are not. Ours are industry specific, theirs are not. We are about comparability, they are not” (Eco-business, 2019:2)</w:t>
      </w:r>
      <w:r w:rsidR="00FB3C31" w:rsidRPr="009D3E34">
        <w:t xml:space="preserve">. This led to a </w:t>
      </w:r>
      <w:r w:rsidR="000E0F89" w:rsidRPr="009D3E34">
        <w:t>rejoinder</w:t>
      </w:r>
      <w:r w:rsidR="00FB3C31" w:rsidRPr="009D3E34">
        <w:t xml:space="preserve"> by </w:t>
      </w:r>
      <w:proofErr w:type="spellStart"/>
      <w:r w:rsidR="00FB3C31" w:rsidRPr="009D3E34">
        <w:t>Mohin</w:t>
      </w:r>
      <w:proofErr w:type="spellEnd"/>
      <w:r w:rsidR="00FB3C31" w:rsidRPr="009D3E34">
        <w:t>:</w:t>
      </w:r>
    </w:p>
    <w:p w14:paraId="2CD22619" w14:textId="72CE58FA" w:rsidR="00F73F54" w:rsidRPr="009D3E34" w:rsidRDefault="00F73F54" w:rsidP="002A35F0">
      <w:pPr>
        <w:pStyle w:val="nikoneindenttext15"/>
        <w:spacing w:line="240" w:lineRule="auto"/>
      </w:pPr>
      <w:r w:rsidRPr="009D3E34">
        <w:t xml:space="preserve">“The movement to limit corporate disclosure on </w:t>
      </w:r>
      <w:r w:rsidR="007B71EF" w:rsidRPr="009D3E34">
        <w:t xml:space="preserve">ESG </w:t>
      </w:r>
      <w:r w:rsidRPr="009D3E34">
        <w:t>issues to financially material topics (already legally required for public companies), has gained some momentum. If it catches on, it could roll back decades of progress. Even more troubling is that the advocates of this position brand themselves as working for environmental and social causes. Could this be a clever Trojan Horse to put the brakes on corporate responsibility?” (</w:t>
      </w:r>
      <w:proofErr w:type="spellStart"/>
      <w:r w:rsidRPr="009D3E34">
        <w:t>Mohin</w:t>
      </w:r>
      <w:proofErr w:type="spellEnd"/>
      <w:r w:rsidRPr="009D3E34">
        <w:t>, 2019:3)</w:t>
      </w:r>
      <w:r w:rsidR="000E0F89" w:rsidRPr="009D3E34">
        <w:t>.</w:t>
      </w:r>
    </w:p>
    <w:p w14:paraId="12F935AF" w14:textId="77777777" w:rsidR="000E0F89" w:rsidRPr="009D3E34" w:rsidRDefault="000E0F89" w:rsidP="0024667E">
      <w:pPr>
        <w:pStyle w:val="nikoneindenttext15"/>
      </w:pPr>
    </w:p>
    <w:p w14:paraId="2AAC9BD3" w14:textId="08F15ACB" w:rsidR="000E0F89" w:rsidRPr="009D3E34" w:rsidRDefault="00F73F54" w:rsidP="00F73F54">
      <w:pPr>
        <w:pStyle w:val="nikoneindenttext15"/>
      </w:pPr>
      <w:r w:rsidRPr="009D3E34">
        <w:t xml:space="preserve">After the summit, </w:t>
      </w:r>
      <w:r w:rsidR="000E0F89" w:rsidRPr="009D3E34">
        <w:t xml:space="preserve">the scope for further cooperation and alignment within the Dialogue appeared to diminish given further comments by </w:t>
      </w:r>
      <w:proofErr w:type="spellStart"/>
      <w:r w:rsidR="000E0F89" w:rsidRPr="009D3E34">
        <w:t>Mohin</w:t>
      </w:r>
      <w:proofErr w:type="spellEnd"/>
      <w:r w:rsidR="000E0F89" w:rsidRPr="009D3E34">
        <w:t>:</w:t>
      </w:r>
    </w:p>
    <w:p w14:paraId="4AAF575F" w14:textId="71386847" w:rsidR="000E0F89" w:rsidRPr="009D3E34" w:rsidRDefault="00F73F54" w:rsidP="002A35F0">
      <w:pPr>
        <w:pStyle w:val="nikoneindenttext15"/>
        <w:spacing w:line="240" w:lineRule="auto"/>
      </w:pPr>
      <w:r w:rsidRPr="009D3E34">
        <w:t>“</w:t>
      </w:r>
      <w:r w:rsidR="000E0F89" w:rsidRPr="009D3E34">
        <w:t>W</w:t>
      </w:r>
      <w:r w:rsidRPr="009D3E34">
        <w:t xml:space="preserve">hen I first took this job, I sat down with </w:t>
      </w:r>
      <w:proofErr w:type="gramStart"/>
      <w:r w:rsidRPr="009D3E34">
        <w:t>SASB</w:t>
      </w:r>
      <w:proofErr w:type="gramEnd"/>
      <w:r w:rsidRPr="009D3E34">
        <w:t xml:space="preserve"> and we agreed that competition between us is not helpful. We are both aiming for the same thing – to align capital with sustainable business practices – and the two approaches are complementary. That was the dialogue, up until yesterday. Now there’s been a change</w:t>
      </w:r>
      <w:r w:rsidR="000E0F89" w:rsidRPr="009D3E34">
        <w:t xml:space="preserve">… </w:t>
      </w:r>
      <w:r w:rsidRPr="009D3E34">
        <w:t>whether we can get back to common ground is anyone’s guess” (Eco-business, 2019:2)</w:t>
      </w:r>
      <w:r w:rsidR="000E0F89" w:rsidRPr="009D3E34">
        <w:t>.</w:t>
      </w:r>
    </w:p>
    <w:p w14:paraId="43BE1CDA" w14:textId="77777777" w:rsidR="00F73F54" w:rsidRPr="009D3E34" w:rsidRDefault="00F73F54" w:rsidP="00F73F54">
      <w:pPr>
        <w:pStyle w:val="nikoneindenttext15"/>
      </w:pPr>
    </w:p>
    <w:p w14:paraId="72865A56" w14:textId="13D6CC60" w:rsidR="007B180E" w:rsidRPr="009D3E34" w:rsidRDefault="00756EFD" w:rsidP="002701DA">
      <w:pPr>
        <w:pStyle w:val="nikoneindenttext15"/>
      </w:pPr>
      <w:r w:rsidRPr="009D3E34">
        <w:t xml:space="preserve">A </w:t>
      </w:r>
      <w:r w:rsidR="00FD255A" w:rsidRPr="009D3E34">
        <w:t>further</w:t>
      </w:r>
      <w:r w:rsidRPr="009D3E34">
        <w:t xml:space="preserve"> Better Alignment report focused on the second stage of the project (due in 2020) never materialised – </w:t>
      </w:r>
      <w:r w:rsidR="00FD255A" w:rsidRPr="009D3E34">
        <w:t xml:space="preserve">it was noted that </w:t>
      </w:r>
      <w:r w:rsidRPr="009D3E34">
        <w:t xml:space="preserve">the </w:t>
      </w:r>
      <w:r w:rsidR="00FD255A" w:rsidRPr="009D3E34">
        <w:t xml:space="preserve">“the Project has further strengthened the mutual understanding and cooperation between the Participants’ technical and communications teams, the effects of which will be long lasting” (CRD, 2019:29). </w:t>
      </w:r>
      <w:proofErr w:type="gramStart"/>
      <w:r w:rsidR="00FD255A" w:rsidRPr="009D3E34">
        <w:t>Whilst,</w:t>
      </w:r>
      <w:proofErr w:type="gramEnd"/>
      <w:r w:rsidR="00FD255A" w:rsidRPr="009D3E34">
        <w:t xml:space="preserve"> “more formal alliances could benefit report preparers and users</w:t>
      </w:r>
      <w:r w:rsidR="00C02066" w:rsidRPr="009D3E34">
        <w:t xml:space="preserve">… </w:t>
      </w:r>
      <w:r w:rsidR="00FD255A" w:rsidRPr="009D3E34">
        <w:t xml:space="preserve">it was concluded that such a trajectory could not be completed within the </w:t>
      </w:r>
      <w:bookmarkStart w:id="16" w:name="_Hlk110610221"/>
      <w:r w:rsidR="00255D51" w:rsidRPr="009D3E34">
        <w:t>Corporate Reporting Dialogue</w:t>
      </w:r>
      <w:r w:rsidR="006E4198" w:rsidRPr="009D3E34">
        <w:t xml:space="preserve"> </w:t>
      </w:r>
      <w:bookmarkEnd w:id="16"/>
      <w:r w:rsidR="006E4198" w:rsidRPr="009D3E34">
        <w:t>given its composition and remit</w:t>
      </w:r>
      <w:r w:rsidR="00FD255A" w:rsidRPr="009D3E34">
        <w:t>” (CRD, 2019:30).</w:t>
      </w:r>
    </w:p>
    <w:p w14:paraId="0F11BE64" w14:textId="36C1C5EA" w:rsidR="00667096" w:rsidRPr="009D3E34" w:rsidRDefault="00667096" w:rsidP="002701DA">
      <w:pPr>
        <w:pStyle w:val="nikoneindenttext15"/>
      </w:pPr>
    </w:p>
    <w:p w14:paraId="03E01439" w14:textId="170C8DF1" w:rsidR="00667096" w:rsidRPr="009D3E34" w:rsidRDefault="00667096" w:rsidP="00667096">
      <w:pPr>
        <w:pStyle w:val="niksemisubtitle"/>
      </w:pPr>
      <w:r w:rsidRPr="009D3E34">
        <w:lastRenderedPageBreak/>
        <w:t>4.5 The Legacy of the Corporate Reporting Dialogue</w:t>
      </w:r>
    </w:p>
    <w:p w14:paraId="566ACA15" w14:textId="54D95F7B" w:rsidR="00FB7541" w:rsidRPr="009D3E34" w:rsidRDefault="00667096" w:rsidP="002701DA">
      <w:pPr>
        <w:pStyle w:val="nikoneindenttext15"/>
      </w:pPr>
      <w:r w:rsidRPr="009D3E34">
        <w:t>W</w:t>
      </w:r>
      <w:r w:rsidR="006E4198" w:rsidRPr="009D3E34">
        <w:t>hilst the membership choices of the C</w:t>
      </w:r>
      <w:r w:rsidRPr="009D3E34">
        <w:t xml:space="preserve">orporate </w:t>
      </w:r>
      <w:r w:rsidR="006E4198" w:rsidRPr="009D3E34">
        <w:t>R</w:t>
      </w:r>
      <w:r w:rsidRPr="009D3E34">
        <w:t xml:space="preserve">eporting </w:t>
      </w:r>
      <w:r w:rsidR="006E4198" w:rsidRPr="009D3E34">
        <w:t>D</w:t>
      </w:r>
      <w:r w:rsidRPr="009D3E34">
        <w:t>ialogue</w:t>
      </w:r>
      <w:r w:rsidR="006E4198" w:rsidRPr="009D3E34">
        <w:t xml:space="preserve"> provided it with legitimacy, they also stymied its progress on alignment given three powerful standardisers (ISO, FASB, IASB) contributed little. </w:t>
      </w:r>
      <w:r w:rsidRPr="009D3E34">
        <w:t>As discussed in section 2, powerful standardisers had little to gain from leaving the initiative. By</w:t>
      </w:r>
      <w:r w:rsidR="006E4198" w:rsidRPr="009D3E34">
        <w:t xml:space="preserve"> October 2019, critique of the slow progress made by the Dialogue from </w:t>
      </w:r>
      <w:proofErr w:type="spellStart"/>
      <w:r w:rsidR="006E4198" w:rsidRPr="009D3E34">
        <w:t>Eumedion</w:t>
      </w:r>
      <w:proofErr w:type="spellEnd"/>
      <w:r w:rsidR="00375736" w:rsidRPr="009D3E34">
        <w:t xml:space="preserve">, a body representing institutional investors, </w:t>
      </w:r>
      <w:r w:rsidR="006E4198" w:rsidRPr="009D3E34">
        <w:t xml:space="preserve">led to calls for </w:t>
      </w:r>
      <w:r w:rsidR="002243C0" w:rsidRPr="009D3E34">
        <w:t xml:space="preserve">a </w:t>
      </w:r>
      <w:r w:rsidR="006E4198" w:rsidRPr="009D3E34">
        <w:t xml:space="preserve">new </w:t>
      </w:r>
      <w:r w:rsidR="00D265F8" w:rsidRPr="009D3E34">
        <w:t>‘</w:t>
      </w:r>
      <w:r w:rsidR="00F06089" w:rsidRPr="009D3E34">
        <w:t xml:space="preserve">International Non-financial </w:t>
      </w:r>
      <w:r w:rsidR="006E4198" w:rsidRPr="009D3E34">
        <w:t>Standards Board</w:t>
      </w:r>
      <w:r w:rsidR="00D265F8" w:rsidRPr="009D3E34">
        <w:t>’</w:t>
      </w:r>
      <w:r w:rsidR="00F06089" w:rsidRPr="009D3E34">
        <w:t xml:space="preserve"> (C11; </w:t>
      </w:r>
      <w:proofErr w:type="spellStart"/>
      <w:r w:rsidR="00F06089" w:rsidRPr="009D3E34">
        <w:t>Eumedion</w:t>
      </w:r>
      <w:proofErr w:type="spellEnd"/>
      <w:r w:rsidR="00F06089" w:rsidRPr="009D3E34">
        <w:t xml:space="preserve">, 2019). This was echoed by Accountancy Europe in December </w:t>
      </w:r>
      <w:r w:rsidR="00D55896" w:rsidRPr="009D3E34">
        <w:t xml:space="preserve">(Accountancy Europe, </w:t>
      </w:r>
      <w:r w:rsidR="00F06089" w:rsidRPr="009D3E34">
        <w:t>2019</w:t>
      </w:r>
      <w:r w:rsidR="00D55896" w:rsidRPr="009D3E34">
        <w:t xml:space="preserve">) </w:t>
      </w:r>
      <w:r w:rsidR="00FB7541" w:rsidRPr="009D3E34">
        <w:t>who debat</w:t>
      </w:r>
      <w:r w:rsidR="00EA490A" w:rsidRPr="009D3E34">
        <w:t>ed</w:t>
      </w:r>
      <w:r w:rsidR="00FB7541" w:rsidRPr="009D3E34">
        <w:t xml:space="preserve"> different approaches for developing a regional or global standard-setter under the auspices of the IFRS Foundation</w:t>
      </w:r>
      <w:r w:rsidR="00EA490A" w:rsidRPr="009D3E34">
        <w:t xml:space="preserve"> and concluded</w:t>
      </w:r>
      <w:r w:rsidR="00FB7541" w:rsidRPr="009D3E34">
        <w:t>.</w:t>
      </w:r>
    </w:p>
    <w:p w14:paraId="2F6408D8" w14:textId="3230C78D" w:rsidR="00FB7541" w:rsidRPr="009D3E34" w:rsidRDefault="00FB7541" w:rsidP="002A35F0">
      <w:pPr>
        <w:pStyle w:val="nikoneindenttext15"/>
        <w:spacing w:line="240" w:lineRule="auto"/>
      </w:pPr>
      <w:r w:rsidRPr="009D3E34">
        <w:t>“</w:t>
      </w:r>
      <w:proofErr w:type="gramStart"/>
      <w:r w:rsidRPr="009D3E34">
        <w:t>the</w:t>
      </w:r>
      <w:proofErr w:type="gramEnd"/>
      <w:r w:rsidRPr="009D3E34">
        <w:t xml:space="preserve"> Better Alignment project was not able to resolve this issue [identifying practical ways to achieve alignment’] and pointed to the need to have </w:t>
      </w:r>
      <w:r w:rsidRPr="009D3E34">
        <w:rPr>
          <w:i/>
          <w:iCs/>
        </w:rPr>
        <w:t>one strong, international</w:t>
      </w:r>
      <w:r w:rsidR="00EA490A" w:rsidRPr="009D3E34">
        <w:rPr>
          <w:i/>
          <w:iCs/>
        </w:rPr>
        <w:t>ly-</w:t>
      </w:r>
      <w:r w:rsidRPr="009D3E34">
        <w:rPr>
          <w:i/>
          <w:iCs/>
        </w:rPr>
        <w:t xml:space="preserve"> recognised and used set of standards for ESG reporting</w:t>
      </w:r>
      <w:r w:rsidRPr="009D3E34">
        <w:t>” (Accountancy Europe, 20</w:t>
      </w:r>
      <w:r w:rsidR="00D55896" w:rsidRPr="009D3E34">
        <w:t>20</w:t>
      </w:r>
      <w:r w:rsidRPr="009D3E34">
        <w:t xml:space="preserve">:13-14 </w:t>
      </w:r>
      <w:r w:rsidRPr="009D3E34">
        <w:rPr>
          <w:i/>
          <w:iCs/>
        </w:rPr>
        <w:t>emphasis in original</w:t>
      </w:r>
      <w:r w:rsidRPr="009D3E34">
        <w:t>)</w:t>
      </w:r>
    </w:p>
    <w:p w14:paraId="367B2D80" w14:textId="77777777" w:rsidR="00FB7541" w:rsidRPr="009D3E34" w:rsidRDefault="00FB7541" w:rsidP="002701DA">
      <w:pPr>
        <w:pStyle w:val="nikoneindenttext15"/>
      </w:pPr>
    </w:p>
    <w:p w14:paraId="54E82BF4" w14:textId="2080CA8B" w:rsidR="00F06089" w:rsidRPr="009D3E34" w:rsidRDefault="000278C4" w:rsidP="002701DA">
      <w:pPr>
        <w:pStyle w:val="nikoneindenttext15"/>
      </w:pPr>
      <w:r w:rsidRPr="009D3E34">
        <w:t>As highlighted by an interviewee</w:t>
      </w:r>
      <w:r w:rsidR="004C0FF7" w:rsidRPr="009D3E34">
        <w:t xml:space="preserve"> (C11)</w:t>
      </w:r>
      <w:r w:rsidRPr="009D3E34">
        <w:t>, the</w:t>
      </w:r>
      <w:r w:rsidR="009853F9" w:rsidRPr="009D3E34">
        <w:t>se</w:t>
      </w:r>
      <w:r w:rsidRPr="009D3E34">
        <w:t xml:space="preserve"> calls </w:t>
      </w:r>
      <w:r w:rsidR="009853F9" w:rsidRPr="009D3E34">
        <w:t xml:space="preserve">were </w:t>
      </w:r>
      <w:r w:rsidR="00375736" w:rsidRPr="009D3E34">
        <w:t xml:space="preserve">being </w:t>
      </w:r>
      <w:r w:rsidR="004C0FF7" w:rsidRPr="009D3E34">
        <w:t xml:space="preserve">privately </w:t>
      </w:r>
      <w:r w:rsidR="009853F9" w:rsidRPr="009D3E34">
        <w:t>heeded</w:t>
      </w:r>
      <w:r w:rsidR="00C67BAA" w:rsidRPr="009D3E34">
        <w:t xml:space="preserve"> and </w:t>
      </w:r>
      <w:bookmarkStart w:id="17" w:name="_Hlk99029501"/>
      <w:r w:rsidR="00C67BAA" w:rsidRPr="009D3E34">
        <w:t>b</w:t>
      </w:r>
      <w:r w:rsidR="00705732" w:rsidRPr="009D3E34">
        <w:t>y May 2020, the trustees of the IFRS Foundation</w:t>
      </w:r>
      <w:r w:rsidR="005F29BF" w:rsidRPr="009D3E34">
        <w:t xml:space="preserve"> </w:t>
      </w:r>
      <w:r w:rsidR="00705732" w:rsidRPr="009D3E34">
        <w:t>noted that “there is a compelling case for the IFRS</w:t>
      </w:r>
      <w:r w:rsidR="005F29BF" w:rsidRPr="009D3E34">
        <w:t xml:space="preserve"> </w:t>
      </w:r>
      <w:r w:rsidR="00705732" w:rsidRPr="009D3E34">
        <w:t>F</w:t>
      </w:r>
      <w:r w:rsidR="005F29BF" w:rsidRPr="009D3E34">
        <w:t>oundation</w:t>
      </w:r>
      <w:r w:rsidR="00705732" w:rsidRPr="009D3E34">
        <w:t xml:space="preserve"> to play a role in helping to develop a set of globally comparably international standards in sustainable reporting, starting perhaps with climate-related risk disclosure” (Ko, 2020:1).</w:t>
      </w:r>
      <w:r w:rsidR="00A45C77" w:rsidRPr="009D3E34">
        <w:t xml:space="preserve"> </w:t>
      </w:r>
      <w:r w:rsidR="00B03DBA" w:rsidRPr="009D3E34">
        <w:t xml:space="preserve">This </w:t>
      </w:r>
      <w:r w:rsidR="0007171F" w:rsidRPr="009D3E34">
        <w:t xml:space="preserve">also </w:t>
      </w:r>
      <w:r w:rsidR="00B03DBA" w:rsidRPr="009D3E34">
        <w:t xml:space="preserve">prompted </w:t>
      </w:r>
      <w:r w:rsidR="00C67BAA" w:rsidRPr="009D3E34">
        <w:t xml:space="preserve">a reaction from </w:t>
      </w:r>
      <w:r w:rsidR="0007171F" w:rsidRPr="009D3E34">
        <w:t>those</w:t>
      </w:r>
      <w:r w:rsidR="00B03DBA" w:rsidRPr="009D3E34">
        <w:t xml:space="preserve"> active members of the Corporate Reporting Dialogue </w:t>
      </w:r>
      <w:r w:rsidR="00C67BAA" w:rsidRPr="009D3E34">
        <w:t xml:space="preserve">and participants in the Better Alignment project </w:t>
      </w:r>
      <w:r w:rsidR="00B03DBA" w:rsidRPr="009D3E34">
        <w:t xml:space="preserve">(the CDP, CDSB, GRI, IIRC and SASB) to </w:t>
      </w:r>
      <w:r w:rsidR="00C67BAA" w:rsidRPr="009D3E34">
        <w:t xml:space="preserve">promptly </w:t>
      </w:r>
      <w:r w:rsidR="00B03DBA" w:rsidRPr="009D3E34">
        <w:t>form a new collaborative initiative, the ‘Group of 5’ and present a</w:t>
      </w:r>
      <w:r w:rsidR="000125C7" w:rsidRPr="009D3E34">
        <w:t xml:space="preserve"> ‘statement of intent to work together towards comprehensive corporate reporting’ to the World Economic Forum International Business Council summer meeting in August 2020 (WEF, 2020). This </w:t>
      </w:r>
      <w:r w:rsidR="00B03DBA" w:rsidRPr="009D3E34">
        <w:t xml:space="preserve">initiative </w:t>
      </w:r>
      <w:r w:rsidR="000125C7" w:rsidRPr="009D3E34">
        <w:t xml:space="preserve">was </w:t>
      </w:r>
      <w:r w:rsidR="00B03DBA" w:rsidRPr="009D3E34">
        <w:t xml:space="preserve">itself </w:t>
      </w:r>
      <w:r w:rsidR="00061975" w:rsidRPr="009D3E34">
        <w:t>‘facili</w:t>
      </w:r>
      <w:r w:rsidR="002D48CE" w:rsidRPr="009D3E34">
        <w:t>t</w:t>
      </w:r>
      <w:r w:rsidR="00061975" w:rsidRPr="009D3E34">
        <w:t>ated’ (</w:t>
      </w:r>
      <w:r w:rsidR="00C67BAA" w:rsidRPr="009D3E34">
        <w:t xml:space="preserve">or </w:t>
      </w:r>
      <w:r w:rsidR="000125C7" w:rsidRPr="009D3E34">
        <w:t>orchestrated</w:t>
      </w:r>
      <w:r w:rsidR="00061975" w:rsidRPr="009D3E34">
        <w:t>)</w:t>
      </w:r>
      <w:r w:rsidR="000125C7" w:rsidRPr="009D3E34">
        <w:t xml:space="preserve"> by the Impact Management Project, World Economic </w:t>
      </w:r>
      <w:proofErr w:type="gramStart"/>
      <w:r w:rsidR="000125C7" w:rsidRPr="009D3E34">
        <w:t>Forum</w:t>
      </w:r>
      <w:proofErr w:type="gramEnd"/>
      <w:r w:rsidR="000125C7" w:rsidRPr="009D3E34">
        <w:t xml:space="preserve"> and Deloitte, and published in </w:t>
      </w:r>
      <w:r w:rsidR="001427B9" w:rsidRPr="009D3E34">
        <w:t>September 2020</w:t>
      </w:r>
      <w:r w:rsidR="00C67BAA" w:rsidRPr="009D3E34">
        <w:t xml:space="preserve"> alongside a supportive statement from IFAC (2020)</w:t>
      </w:r>
      <w:r w:rsidR="001427B9" w:rsidRPr="009D3E34">
        <w:t xml:space="preserve">, </w:t>
      </w:r>
      <w:r w:rsidR="00A45C77" w:rsidRPr="009D3E34">
        <w:t xml:space="preserve">the same month </w:t>
      </w:r>
      <w:r w:rsidR="001427B9" w:rsidRPr="009D3E34">
        <w:t xml:space="preserve">in which </w:t>
      </w:r>
      <w:r w:rsidR="00A45C77" w:rsidRPr="009D3E34">
        <w:t xml:space="preserve">a </w:t>
      </w:r>
      <w:r w:rsidR="001427B9" w:rsidRPr="009D3E34">
        <w:t>IFRS Foundation Trustees</w:t>
      </w:r>
      <w:r w:rsidR="00A45C77" w:rsidRPr="009D3E34">
        <w:t xml:space="preserve"> consultation paper was </w:t>
      </w:r>
      <w:r w:rsidR="00B03DBA" w:rsidRPr="009D3E34">
        <w:t>issued</w:t>
      </w:r>
      <w:r w:rsidR="00A45C77" w:rsidRPr="009D3E34">
        <w:t xml:space="preserve"> </w:t>
      </w:r>
      <w:r w:rsidR="00B4653C" w:rsidRPr="009D3E34">
        <w:t>(CDP et al., 2020</w:t>
      </w:r>
      <w:r w:rsidR="009F47D8" w:rsidRPr="009D3E34">
        <w:t>a</w:t>
      </w:r>
      <w:r w:rsidR="00B4653C" w:rsidRPr="009D3E34">
        <w:t>:1)</w:t>
      </w:r>
      <w:r w:rsidR="00A45C77" w:rsidRPr="009D3E34">
        <w:t>.</w:t>
      </w:r>
    </w:p>
    <w:p w14:paraId="4A7A5B68" w14:textId="1ACE406A" w:rsidR="00F33240" w:rsidRPr="009D3E34" w:rsidRDefault="00CE76FB" w:rsidP="00F33240">
      <w:pPr>
        <w:pStyle w:val="nikoneindenttext15"/>
      </w:pPr>
      <w:r w:rsidRPr="009D3E34">
        <w:t xml:space="preserve">The </w:t>
      </w:r>
      <w:r w:rsidR="00793CA3" w:rsidRPr="009D3E34">
        <w:t>‘</w:t>
      </w:r>
      <w:r w:rsidRPr="009D3E34">
        <w:t>Group of 5’ proposals presented a joint solution for global sustainability reporting standards that recognised different materiality concepts and users to incorporate the work of each standardiser and could provide the disclosures recommended by the TCFD (CDP et al., 2020</w:t>
      </w:r>
      <w:r w:rsidR="009F47D8" w:rsidRPr="009D3E34">
        <w:t>a</w:t>
      </w:r>
      <w:r w:rsidRPr="009D3E34">
        <w:t xml:space="preserve">). </w:t>
      </w:r>
      <w:r w:rsidR="00255D51" w:rsidRPr="009D3E34">
        <w:t>T</w:t>
      </w:r>
      <w:r w:rsidRPr="009D3E34">
        <w:t>hey propose</w:t>
      </w:r>
      <w:r w:rsidR="002243C0" w:rsidRPr="009D3E34">
        <w:t>d</w:t>
      </w:r>
      <w:r w:rsidRPr="009D3E34">
        <w:t xml:space="preserve"> a </w:t>
      </w:r>
      <w:r w:rsidR="00793CA3" w:rsidRPr="009D3E34">
        <w:t xml:space="preserve">‘building blocks’ </w:t>
      </w:r>
      <w:r w:rsidRPr="009D3E34">
        <w:t xml:space="preserve">approach to harmonisation where </w:t>
      </w:r>
      <w:r w:rsidR="00957458" w:rsidRPr="009D3E34">
        <w:t>the</w:t>
      </w:r>
      <w:r w:rsidRPr="009D3E34">
        <w:t xml:space="preserve"> IIRC, SASB and CDSB would offer standards relevant to enterprise value creation whilst </w:t>
      </w:r>
      <w:r w:rsidR="00B8163E" w:rsidRPr="009D3E34">
        <w:t xml:space="preserve">the approach taken by the </w:t>
      </w:r>
      <w:r w:rsidRPr="009D3E34">
        <w:t xml:space="preserve">GRI </w:t>
      </w:r>
      <w:r w:rsidR="00957458" w:rsidRPr="009D3E34">
        <w:lastRenderedPageBreak/>
        <w:t xml:space="preserve">and CDP </w:t>
      </w:r>
      <w:r w:rsidRPr="009D3E34">
        <w:t>would come later</w:t>
      </w:r>
      <w:r w:rsidR="00B8163E" w:rsidRPr="009D3E34">
        <w:t xml:space="preserve"> </w:t>
      </w:r>
      <w:r w:rsidRPr="009D3E34">
        <w:t>(CDP et al., 2020</w:t>
      </w:r>
      <w:r w:rsidR="009F47D8" w:rsidRPr="009D3E34">
        <w:t>a</w:t>
      </w:r>
      <w:r w:rsidRPr="009D3E34">
        <w:t xml:space="preserve">). </w:t>
      </w:r>
      <w:r w:rsidR="00B8163E" w:rsidRPr="009D3E34">
        <w:t>This there</w:t>
      </w:r>
      <w:r w:rsidR="00957458" w:rsidRPr="009D3E34">
        <w:t>fore</w:t>
      </w:r>
      <w:r w:rsidR="00B8163E" w:rsidRPr="009D3E34">
        <w:t xml:space="preserve"> prioritised reporting only on those social and environmental issues that </w:t>
      </w:r>
      <w:r w:rsidR="00793CA3" w:rsidRPr="009D3E34">
        <w:t xml:space="preserve">were perceived to </w:t>
      </w:r>
      <w:r w:rsidR="00B8163E" w:rsidRPr="009D3E34">
        <w:t xml:space="preserve">materially affect firm value, and risked marginalising </w:t>
      </w:r>
      <w:r w:rsidR="00F33240" w:rsidRPr="009D3E34">
        <w:t>reporting o</w:t>
      </w:r>
      <w:r w:rsidR="002243C0" w:rsidRPr="009D3E34">
        <w:t>n</w:t>
      </w:r>
      <w:r w:rsidR="00F33240" w:rsidRPr="009D3E34">
        <w:t xml:space="preserve"> how firms may </w:t>
      </w:r>
      <w:r w:rsidR="00255D51" w:rsidRPr="009D3E34">
        <w:t>affect</w:t>
      </w:r>
      <w:r w:rsidR="00F33240" w:rsidRPr="009D3E34">
        <w:t xml:space="preserve"> socio-ecological systems where there is no foreseeable impact on firm value</w:t>
      </w:r>
      <w:r w:rsidRPr="009D3E34">
        <w:t>.</w:t>
      </w:r>
      <w:r w:rsidR="00F33240" w:rsidRPr="009D3E34">
        <w:t xml:space="preserve"> In the same month, the ‘Group of 5’ also </w:t>
      </w:r>
      <w:r w:rsidR="00F7541C" w:rsidRPr="009D3E34">
        <w:t xml:space="preserve">sought support from IOSCO by </w:t>
      </w:r>
      <w:r w:rsidR="008F427A" w:rsidRPr="009D3E34">
        <w:t xml:space="preserve">publicly </w:t>
      </w:r>
      <w:r w:rsidR="00F7541C" w:rsidRPr="009D3E34">
        <w:t xml:space="preserve">presenting </w:t>
      </w:r>
      <w:r w:rsidR="00F33240" w:rsidRPr="009D3E34">
        <w:t xml:space="preserve">their joint solution to </w:t>
      </w:r>
      <w:r w:rsidR="00F7541C" w:rsidRPr="009D3E34">
        <w:t xml:space="preserve">its </w:t>
      </w:r>
      <w:r w:rsidR="00F33240" w:rsidRPr="009D3E34">
        <w:t xml:space="preserve">Sustainable </w:t>
      </w:r>
      <w:r w:rsidR="00F7541C" w:rsidRPr="009D3E34">
        <w:t xml:space="preserve">Finance Board </w:t>
      </w:r>
      <w:r w:rsidR="00F33240" w:rsidRPr="009D3E34">
        <w:t xml:space="preserve">Task Force </w:t>
      </w:r>
      <w:r w:rsidR="00F7541C" w:rsidRPr="009D3E34">
        <w:t>(</w:t>
      </w:r>
      <w:proofErr w:type="spellStart"/>
      <w:r w:rsidR="00F7541C" w:rsidRPr="009D3E34">
        <w:t>IOSCO</w:t>
      </w:r>
      <w:r w:rsidR="00B45A15" w:rsidRPr="009D3E34">
        <w:t>b</w:t>
      </w:r>
      <w:proofErr w:type="spellEnd"/>
      <w:r w:rsidR="00F7541C" w:rsidRPr="009D3E34">
        <w:t xml:space="preserve">, 2020; </w:t>
      </w:r>
      <w:r w:rsidR="00F33240" w:rsidRPr="009D3E34">
        <w:t>CDP et al., 2020</w:t>
      </w:r>
      <w:r w:rsidR="009F47D8" w:rsidRPr="009D3E34">
        <w:t>b</w:t>
      </w:r>
      <w:r w:rsidR="00F33240" w:rsidRPr="009D3E34">
        <w:t>)</w:t>
      </w:r>
      <w:r w:rsidR="00BE1BA7" w:rsidRPr="009D3E34">
        <w:t>.</w:t>
      </w:r>
    </w:p>
    <w:p w14:paraId="4E39C47D" w14:textId="73C95F2B" w:rsidR="006B3731" w:rsidRPr="009D3E34" w:rsidRDefault="00BE1BA7" w:rsidP="00EB34C6">
      <w:pPr>
        <w:pStyle w:val="nikoneindenttext15"/>
      </w:pPr>
      <w:r w:rsidRPr="009D3E34">
        <w:t>By 2021, the ‘Group of 5’ proposal</w:t>
      </w:r>
      <w:r w:rsidR="00EB34C6" w:rsidRPr="009D3E34">
        <w:t>s</w:t>
      </w:r>
      <w:r w:rsidRPr="009D3E34">
        <w:t xml:space="preserve"> formed the basis for the </w:t>
      </w:r>
      <w:r w:rsidR="00EB34C6" w:rsidRPr="009D3E34">
        <w:t xml:space="preserve">position taken by the IFRS Trustees and its newly formed International Sustainability </w:t>
      </w:r>
      <w:r w:rsidR="00F7541C" w:rsidRPr="009D3E34">
        <w:t xml:space="preserve">Standards </w:t>
      </w:r>
      <w:r w:rsidR="00EB34C6" w:rsidRPr="009D3E34">
        <w:t xml:space="preserve">Board (O7). Meanwhile, </w:t>
      </w:r>
      <w:r w:rsidR="00EB75C1" w:rsidRPr="009D3E34">
        <w:t xml:space="preserve">the investor-orientated standardisers </w:t>
      </w:r>
      <w:r w:rsidR="00A63F7E" w:rsidRPr="009D3E34">
        <w:t xml:space="preserve">from the Group of 5 </w:t>
      </w:r>
      <w:r w:rsidR="00D6673F" w:rsidRPr="009D3E34">
        <w:t xml:space="preserve">(CDSB, IIRC, SASB) </w:t>
      </w:r>
      <w:r w:rsidR="00EB75C1" w:rsidRPr="009D3E34">
        <w:t>all merged and were subsumed under the International Sustainability Standards Board banner</w:t>
      </w:r>
      <w:r w:rsidR="00F7541C" w:rsidRPr="009D3E34">
        <w:t xml:space="preserve"> – the IIRC and SASB initially merged to form the Value Reporting Foundation, which </w:t>
      </w:r>
      <w:r w:rsidR="00957458" w:rsidRPr="009D3E34">
        <w:t>alongside</w:t>
      </w:r>
      <w:r w:rsidR="00F7541C" w:rsidRPr="009D3E34">
        <w:t xml:space="preserve"> the CDSB</w:t>
      </w:r>
      <w:r w:rsidR="00957458" w:rsidRPr="009D3E34">
        <w:t>,</w:t>
      </w:r>
      <w:r w:rsidR="00F7541C" w:rsidRPr="009D3E34">
        <w:t xml:space="preserve"> became part of the International Sustainability Standards Board</w:t>
      </w:r>
      <w:r w:rsidR="00957458" w:rsidRPr="009D3E34">
        <w:t xml:space="preserve"> in 2021</w:t>
      </w:r>
      <w:r w:rsidR="00D6673F" w:rsidRPr="009D3E34">
        <w:t>.</w:t>
      </w:r>
    </w:p>
    <w:bookmarkEnd w:id="17"/>
    <w:p w14:paraId="1933DB4F" w14:textId="7589EFE8" w:rsidR="006B3731" w:rsidRPr="009D3E34" w:rsidRDefault="00D6673F" w:rsidP="006B3731">
      <w:pPr>
        <w:pStyle w:val="nikoneindenttext15"/>
      </w:pPr>
      <w:r w:rsidRPr="009D3E34">
        <w:t xml:space="preserve">When the Corporate Reporting Dialogue formally ended in November 2021, it described itself as an ‘enabler’ of the </w:t>
      </w:r>
      <w:r w:rsidR="006B3731" w:rsidRPr="009D3E34">
        <w:t>International Sustainability Standards Board and</w:t>
      </w:r>
      <w:r w:rsidRPr="009D3E34">
        <w:t xml:space="preserve"> </w:t>
      </w:r>
      <w:r w:rsidR="002243C0" w:rsidRPr="009D3E34">
        <w:t xml:space="preserve">thereby </w:t>
      </w:r>
      <w:r w:rsidRPr="009D3E34">
        <w:t>continuing “the ongoing coordination among organizations committed to enhanced disclosure that was previously provided by the C</w:t>
      </w:r>
      <w:r w:rsidR="006B3731" w:rsidRPr="009D3E34">
        <w:t xml:space="preserve">orporate </w:t>
      </w:r>
      <w:r w:rsidRPr="009D3E34">
        <w:t>R</w:t>
      </w:r>
      <w:r w:rsidR="006B3731" w:rsidRPr="009D3E34">
        <w:t xml:space="preserve">eporting </w:t>
      </w:r>
      <w:r w:rsidRPr="009D3E34">
        <w:t>D</w:t>
      </w:r>
      <w:r w:rsidR="006B3731" w:rsidRPr="009D3E34">
        <w:t>ialogue</w:t>
      </w:r>
      <w:r w:rsidRPr="009D3E34">
        <w:t xml:space="preserve">” (CRD, 2021:2). </w:t>
      </w:r>
      <w:r w:rsidR="006B3731" w:rsidRPr="009D3E34">
        <w:t>As had been foretold,</w:t>
      </w:r>
    </w:p>
    <w:p w14:paraId="64555F85" w14:textId="3302A1FE" w:rsidR="00D0522E" w:rsidRPr="009D3E34" w:rsidRDefault="006B3731" w:rsidP="002A35F0">
      <w:pPr>
        <w:pStyle w:val="nikoneindenttext15"/>
        <w:spacing w:line="240" w:lineRule="auto"/>
      </w:pPr>
      <w:bookmarkStart w:id="18" w:name="_Hlk95400792"/>
      <w:bookmarkStart w:id="19" w:name="_Hlk95400824"/>
      <w:r w:rsidRPr="009D3E34">
        <w:t>“Once we really did have true global standards and proper governance and an organisation running it</w:t>
      </w:r>
      <w:bookmarkEnd w:id="18"/>
      <w:r w:rsidRPr="009D3E34">
        <w:t xml:space="preserve">, well, you’d have to sit back and </w:t>
      </w:r>
      <w:proofErr w:type="gramStart"/>
      <w:r w:rsidRPr="009D3E34">
        <w:t>say</w:t>
      </w:r>
      <w:proofErr w:type="gramEnd"/>
      <w:r w:rsidRPr="009D3E34">
        <w:t xml:space="preserve"> “do we need the Corporate Reporting Dialogue anymore?” We’re probably four or five years away from that, I think.” (C11)</w:t>
      </w:r>
      <w:r w:rsidR="002F61AE" w:rsidRPr="009D3E34">
        <w:t xml:space="preserve"> </w:t>
      </w:r>
    </w:p>
    <w:p w14:paraId="03C1C49A" w14:textId="77777777" w:rsidR="00D0522E" w:rsidRPr="009D3E34" w:rsidRDefault="00D0522E" w:rsidP="0024667E">
      <w:pPr>
        <w:pStyle w:val="nikoneindenttext15"/>
      </w:pPr>
    </w:p>
    <w:bookmarkEnd w:id="19"/>
    <w:p w14:paraId="1632C9BF" w14:textId="05032C2D" w:rsidR="002156EE" w:rsidRPr="009D3E34" w:rsidRDefault="006B7B14" w:rsidP="002701DA">
      <w:pPr>
        <w:pStyle w:val="nikoneindenttext15"/>
      </w:pPr>
      <w:r w:rsidRPr="009D3E34">
        <w:t xml:space="preserve">In the next section, the paper discusses the </w:t>
      </w:r>
      <w:r w:rsidR="004E35A6" w:rsidRPr="009D3E34">
        <w:t>impact</w:t>
      </w:r>
      <w:r w:rsidRPr="009D3E34">
        <w:t xml:space="preserve"> of the Corporate Reporting Dialogue, </w:t>
      </w:r>
      <w:r w:rsidR="00DA5185" w:rsidRPr="009D3E34">
        <w:t>the wider implications of the study, and how they relate to our understanding of</w:t>
      </w:r>
      <w:r w:rsidR="004E35A6" w:rsidRPr="009D3E34">
        <w:t xml:space="preserve"> the standardisation of sustainability reporting.</w:t>
      </w:r>
    </w:p>
    <w:p w14:paraId="6F09C065" w14:textId="77777777" w:rsidR="00FF28E1" w:rsidRPr="009D3E34" w:rsidRDefault="00FF28E1" w:rsidP="002701DA">
      <w:pPr>
        <w:pStyle w:val="nikoneindenttext15"/>
      </w:pPr>
    </w:p>
    <w:p w14:paraId="1C4E99E8" w14:textId="343E18E6" w:rsidR="00BA6F6C" w:rsidRPr="009D3E34" w:rsidRDefault="00B0214A" w:rsidP="00E0093B">
      <w:pPr>
        <w:pStyle w:val="Heading1"/>
      </w:pPr>
      <w:r w:rsidRPr="009D3E34">
        <w:t xml:space="preserve">5. </w:t>
      </w:r>
      <w:r w:rsidR="00BA6F6C" w:rsidRPr="009D3E34">
        <w:t xml:space="preserve">Discussion </w:t>
      </w:r>
      <w:r w:rsidR="00537CAE" w:rsidRPr="009D3E34">
        <w:t xml:space="preserve">and </w:t>
      </w:r>
      <w:r w:rsidR="00BA6F6C" w:rsidRPr="009D3E34">
        <w:t>Conclu</w:t>
      </w:r>
      <w:r w:rsidR="00537CAE" w:rsidRPr="009D3E34">
        <w:t>ding Comments</w:t>
      </w:r>
    </w:p>
    <w:p w14:paraId="0AA34257" w14:textId="2E9A9B64" w:rsidR="0084220B" w:rsidRPr="009D3E34" w:rsidRDefault="00527464" w:rsidP="0024667E">
      <w:pPr>
        <w:pStyle w:val="nikoneindenttext15"/>
      </w:pPr>
      <w:r w:rsidRPr="009D3E34">
        <w:t>In th</w:t>
      </w:r>
      <w:r w:rsidR="007A0BB8" w:rsidRPr="009D3E34">
        <w:t>is section, the</w:t>
      </w:r>
      <w:r w:rsidRPr="009D3E34">
        <w:t xml:space="preserve"> paper</w:t>
      </w:r>
      <w:r w:rsidR="007A0BB8" w:rsidRPr="009D3E34">
        <w:t xml:space="preserve"> </w:t>
      </w:r>
      <w:r w:rsidR="00372BBF" w:rsidRPr="009D3E34">
        <w:t xml:space="preserve">seeks to answer the research questions posed in the introduction, </w:t>
      </w:r>
      <w:r w:rsidR="007B52D1" w:rsidRPr="009D3E34">
        <w:t>whilst</w:t>
      </w:r>
      <w:r w:rsidR="007A0BB8" w:rsidRPr="009D3E34">
        <w:t xml:space="preserve"> elucidating </w:t>
      </w:r>
      <w:r w:rsidR="00E63F66" w:rsidRPr="009D3E34">
        <w:t>the</w:t>
      </w:r>
      <w:r w:rsidR="007A0BB8" w:rsidRPr="009D3E34">
        <w:t xml:space="preserve"> contributions</w:t>
      </w:r>
      <w:r w:rsidR="00283A3F" w:rsidRPr="009D3E34">
        <w:t xml:space="preserve"> </w:t>
      </w:r>
      <w:r w:rsidR="00F84731" w:rsidRPr="009D3E34">
        <w:t>of the study</w:t>
      </w:r>
      <w:r w:rsidR="007A0BB8" w:rsidRPr="009D3E34">
        <w:t>.</w:t>
      </w:r>
      <w:r w:rsidR="003C3751" w:rsidRPr="009D3E34">
        <w:t xml:space="preserve"> </w:t>
      </w:r>
      <w:bookmarkStart w:id="20" w:name="_Hlk73015089"/>
      <w:r w:rsidR="00372BBF" w:rsidRPr="009D3E34">
        <w:t xml:space="preserve">In considering the first </w:t>
      </w:r>
      <w:r w:rsidR="007A0BB8" w:rsidRPr="009D3E34">
        <w:t xml:space="preserve">research </w:t>
      </w:r>
      <w:r w:rsidR="00372BBF" w:rsidRPr="009D3E34">
        <w:t xml:space="preserve">question, </w:t>
      </w:r>
      <w:r w:rsidR="008F3951" w:rsidRPr="009D3E34">
        <w:t>what was the role of the Corporate Reporting Dialogue in the global standardisation of sustainability reporting</w:t>
      </w:r>
      <w:r w:rsidR="00372BBF" w:rsidRPr="009D3E34">
        <w:t xml:space="preserve">, the results show how </w:t>
      </w:r>
      <w:r w:rsidR="005372FA" w:rsidRPr="009D3E34">
        <w:t xml:space="preserve">pressure for </w:t>
      </w:r>
      <w:r w:rsidR="00B1093E" w:rsidRPr="009D3E34">
        <w:t xml:space="preserve">the </w:t>
      </w:r>
      <w:r w:rsidR="005372FA" w:rsidRPr="009D3E34">
        <w:t xml:space="preserve">consolidation </w:t>
      </w:r>
      <w:r w:rsidR="00B1093E" w:rsidRPr="009D3E34">
        <w:t>of</w:t>
      </w:r>
      <w:r w:rsidR="005372FA" w:rsidRPr="009D3E34">
        <w:t xml:space="preserve"> sustainability reporting standard</w:t>
      </w:r>
      <w:r w:rsidR="00B1093E" w:rsidRPr="009D3E34">
        <w:t>s</w:t>
      </w:r>
      <w:r w:rsidR="005372FA" w:rsidRPr="009D3E34">
        <w:t xml:space="preserve"> </w:t>
      </w:r>
      <w:r w:rsidR="00626BB7" w:rsidRPr="009D3E34">
        <w:t>provided the conditions of possibility for orchestration around a focal point</w:t>
      </w:r>
      <w:r w:rsidR="00662290" w:rsidRPr="009D3E34">
        <w:t xml:space="preserve">. </w:t>
      </w:r>
      <w:r w:rsidR="008F427A" w:rsidRPr="009D3E34">
        <w:t xml:space="preserve">By convening the </w:t>
      </w:r>
      <w:r w:rsidR="00662290" w:rsidRPr="009D3E34">
        <w:t>Corporate Reporting Dialogue</w:t>
      </w:r>
      <w:r w:rsidR="008F427A" w:rsidRPr="009D3E34">
        <w:t xml:space="preserve">, the IIRC provided a focal point that could be </w:t>
      </w:r>
      <w:r w:rsidR="008F427A" w:rsidRPr="009D3E34">
        <w:lastRenderedPageBreak/>
        <w:t xml:space="preserve">used to </w:t>
      </w:r>
      <w:r w:rsidR="002D48CE" w:rsidRPr="009D3E34">
        <w:t>consider how other standards might fit with</w:t>
      </w:r>
      <w:r w:rsidR="00DB0160" w:rsidRPr="009D3E34">
        <w:t>in</w:t>
      </w:r>
      <w:r w:rsidR="002D48CE" w:rsidRPr="009D3E34">
        <w:t xml:space="preserve"> the &lt;IR&gt; framework</w:t>
      </w:r>
      <w:r w:rsidR="00662290" w:rsidRPr="009D3E34">
        <w:t>.</w:t>
      </w:r>
      <w:r w:rsidR="0091452B" w:rsidRPr="009D3E34">
        <w:t xml:space="preserve"> </w:t>
      </w:r>
      <w:r w:rsidR="0084220B" w:rsidRPr="009D3E34">
        <w:t>During th</w:t>
      </w:r>
      <w:r w:rsidR="00207CB1" w:rsidRPr="009D3E34">
        <w:t>o</w:t>
      </w:r>
      <w:r w:rsidR="0084220B" w:rsidRPr="009D3E34">
        <w:t>se</w:t>
      </w:r>
      <w:r w:rsidR="0091452B" w:rsidRPr="009D3E34">
        <w:t xml:space="preserve"> early stages, the Dialogue can be seen as </w:t>
      </w:r>
      <w:r w:rsidR="00FA2DC2" w:rsidRPr="009D3E34">
        <w:t xml:space="preserve">a </w:t>
      </w:r>
      <w:r w:rsidR="0091452B" w:rsidRPr="009D3E34">
        <w:t>continu</w:t>
      </w:r>
      <w:r w:rsidR="00FA2DC2" w:rsidRPr="009D3E34">
        <w:t xml:space="preserve">ation of </w:t>
      </w:r>
      <w:r w:rsidR="0091452B" w:rsidRPr="009D3E34">
        <w:t xml:space="preserve">the IIRC’s </w:t>
      </w:r>
      <w:r w:rsidR="00FA2DC2" w:rsidRPr="009D3E34">
        <w:t>attempts to gain</w:t>
      </w:r>
      <w:r w:rsidR="0091452B" w:rsidRPr="009D3E34">
        <w:t xml:space="preserve"> coalition support for the &lt;IR&gt; framework and </w:t>
      </w:r>
      <w:r w:rsidR="003B6417" w:rsidRPr="009D3E34">
        <w:t xml:space="preserve">thereby </w:t>
      </w:r>
      <w:r w:rsidR="0091452B" w:rsidRPr="009D3E34">
        <w:t>reduc</w:t>
      </w:r>
      <w:r w:rsidR="003B6417" w:rsidRPr="009D3E34">
        <w:t>e</w:t>
      </w:r>
      <w:r w:rsidR="0091452B" w:rsidRPr="009D3E34">
        <w:t xml:space="preserve"> the perceived threat of colonisation described by Humphrey et al. (2017)</w:t>
      </w:r>
      <w:r w:rsidR="00207CB1" w:rsidRPr="009D3E34">
        <w:t>.</w:t>
      </w:r>
    </w:p>
    <w:p w14:paraId="6A975C1D" w14:textId="6AF224E3" w:rsidR="00CB7723" w:rsidRPr="009D3E34" w:rsidRDefault="0084220B" w:rsidP="0024667E">
      <w:pPr>
        <w:pStyle w:val="nikoneindenttext15"/>
      </w:pPr>
      <w:r w:rsidRPr="009D3E34">
        <w:t>Over time, t</w:t>
      </w:r>
      <w:r w:rsidR="00213177" w:rsidRPr="009D3E34">
        <w:t xml:space="preserve">he Dialogue provided a means for different bodies to coalesce </w:t>
      </w:r>
      <w:r w:rsidR="00992B1D" w:rsidRPr="009D3E34">
        <w:t xml:space="preserve">and legitimate </w:t>
      </w:r>
      <w:r w:rsidR="00213177" w:rsidRPr="009D3E34">
        <w:t>specific visions of sustainability reporting</w:t>
      </w:r>
      <w:r w:rsidR="007C6A2E" w:rsidRPr="009D3E34">
        <w:t xml:space="preserve"> and </w:t>
      </w:r>
      <w:r w:rsidR="00547E9C" w:rsidRPr="009D3E34">
        <w:t>offer</w:t>
      </w:r>
      <w:r w:rsidR="007C6A2E" w:rsidRPr="009D3E34">
        <w:t xml:space="preserve"> a consensual </w:t>
      </w:r>
      <w:r w:rsidR="00547E9C" w:rsidRPr="009D3E34">
        <w:t xml:space="preserve">aligned </w:t>
      </w:r>
      <w:r w:rsidR="007C6A2E" w:rsidRPr="009D3E34">
        <w:t xml:space="preserve">position </w:t>
      </w:r>
      <w:r w:rsidR="00547E9C" w:rsidRPr="009D3E34">
        <w:t xml:space="preserve">on sustainability reporting </w:t>
      </w:r>
      <w:r w:rsidR="007C6A2E" w:rsidRPr="009D3E34">
        <w:t>standards</w:t>
      </w:r>
      <w:r w:rsidR="00F0668E" w:rsidRPr="009D3E34">
        <w:t xml:space="preserve"> to external parties.</w:t>
      </w:r>
      <w:r w:rsidR="007C6A2E" w:rsidRPr="009D3E34">
        <w:t xml:space="preserve"> </w:t>
      </w:r>
      <w:r w:rsidR="00FF7C94" w:rsidRPr="009D3E34">
        <w:t xml:space="preserve">Although the Dialogue </w:t>
      </w:r>
      <w:r w:rsidR="00A2401C" w:rsidRPr="009D3E34">
        <w:t>provided</w:t>
      </w:r>
      <w:r w:rsidR="00FF7C94" w:rsidRPr="009D3E34">
        <w:t xml:space="preserve"> a vessel that could be used to consolidate and align </w:t>
      </w:r>
      <w:r w:rsidR="007C6A2E" w:rsidRPr="009D3E34">
        <w:t>different</w:t>
      </w:r>
      <w:r w:rsidR="00FF7C94" w:rsidRPr="009D3E34">
        <w:t xml:space="preserve"> standards, its progress in developing a unified position was hindered by the inclusion of several inactive, but powerful, members. Nevertheless, its most active members </w:t>
      </w:r>
      <w:r w:rsidR="00BE0C18" w:rsidRPr="009D3E34">
        <w:t xml:space="preserve">subsequently </w:t>
      </w:r>
      <w:r w:rsidR="007C6A2E" w:rsidRPr="009D3E34">
        <w:t xml:space="preserve">formed the ‘Group of 5’ whose joint solution formed the basis of the approach being undertaken by the </w:t>
      </w:r>
      <w:r w:rsidR="002D48CE" w:rsidRPr="009D3E34">
        <w:t>International Sustainability Standards Board</w:t>
      </w:r>
      <w:r w:rsidR="007C6A2E" w:rsidRPr="009D3E34">
        <w:t xml:space="preserve"> </w:t>
      </w:r>
      <w:r w:rsidR="00DB0160" w:rsidRPr="009D3E34">
        <w:t xml:space="preserve">under which </w:t>
      </w:r>
      <w:r w:rsidR="007C6A2E" w:rsidRPr="009D3E34">
        <w:t xml:space="preserve">three </w:t>
      </w:r>
      <w:r w:rsidRPr="009D3E34">
        <w:t>Dialogue members</w:t>
      </w:r>
      <w:r w:rsidR="007C6A2E" w:rsidRPr="009D3E34">
        <w:t xml:space="preserve"> were later subsumed</w:t>
      </w:r>
      <w:r w:rsidR="002D48CE" w:rsidRPr="009D3E34">
        <w:t xml:space="preserve">. </w:t>
      </w:r>
      <w:r w:rsidR="00CB7723" w:rsidRPr="009D3E34">
        <w:t xml:space="preserve">Whilst this solution sought to offer a consensual position that incorporated the visions of each of its members, it prioritised a specific worldview of sustainability reporting based on </w:t>
      </w:r>
      <w:r w:rsidR="00547E9C" w:rsidRPr="009D3E34">
        <w:t xml:space="preserve">disclosing only those issues that </w:t>
      </w:r>
      <w:r w:rsidR="00793CA3" w:rsidRPr="009D3E34">
        <w:t xml:space="preserve">management perceived </w:t>
      </w:r>
      <w:r w:rsidR="00D13C7A" w:rsidRPr="009D3E34">
        <w:t xml:space="preserve">would </w:t>
      </w:r>
      <w:r w:rsidR="00547E9C" w:rsidRPr="009D3E34">
        <w:t xml:space="preserve">materially affect </w:t>
      </w:r>
      <w:r w:rsidR="00CB7723" w:rsidRPr="009D3E34">
        <w:t>enterprise value creation</w:t>
      </w:r>
      <w:r w:rsidR="00A37DB3" w:rsidRPr="009D3E34">
        <w:t>.</w:t>
      </w:r>
      <w:r w:rsidR="005654B8" w:rsidRPr="009D3E34">
        <w:t xml:space="preserve"> </w:t>
      </w:r>
      <w:r w:rsidR="00E14DFF" w:rsidRPr="009D3E34">
        <w:t>In doing so</w:t>
      </w:r>
      <w:r w:rsidR="005654B8" w:rsidRPr="009D3E34">
        <w:t xml:space="preserve">, </w:t>
      </w:r>
      <w:r w:rsidR="00E14DFF" w:rsidRPr="009D3E34">
        <w:t xml:space="preserve">it deprioritises the needs of other </w:t>
      </w:r>
      <w:r w:rsidR="005654B8" w:rsidRPr="009D3E34">
        <w:t>stakeholders</w:t>
      </w:r>
      <w:r w:rsidR="00E14DFF" w:rsidRPr="009D3E34">
        <w:t xml:space="preserve"> and focuses on the sustainability of reporting companies, rather than the sustainability of the planet.</w:t>
      </w:r>
    </w:p>
    <w:p w14:paraId="2597FC9E" w14:textId="77777777" w:rsidR="00E63F66" w:rsidRPr="009D3E34" w:rsidRDefault="00E63F66" w:rsidP="0024667E">
      <w:pPr>
        <w:pStyle w:val="nikoneindenttext15"/>
      </w:pPr>
    </w:p>
    <w:p w14:paraId="3A67665C" w14:textId="78FA052A" w:rsidR="007B16B4" w:rsidRPr="009D3E34" w:rsidRDefault="000A058C" w:rsidP="0024667E">
      <w:pPr>
        <w:pStyle w:val="nikoneindenttext15"/>
      </w:pPr>
      <w:bookmarkStart w:id="21" w:name="_Hlk73015677"/>
      <w:bookmarkEnd w:id="20"/>
      <w:r w:rsidRPr="009D3E34">
        <w:t xml:space="preserve">The </w:t>
      </w:r>
      <w:r w:rsidR="00CB1479" w:rsidRPr="009D3E34">
        <w:t>second</w:t>
      </w:r>
      <w:r w:rsidRPr="009D3E34">
        <w:t xml:space="preserve"> research question asked </w:t>
      </w:r>
      <w:r w:rsidR="00375736" w:rsidRPr="009D3E34">
        <w:t>who influenced participation in and the direction of Dialogue activity</w:t>
      </w:r>
      <w:r w:rsidRPr="009D3E34">
        <w:t>?</w:t>
      </w:r>
      <w:r w:rsidR="00AC57FB" w:rsidRPr="009D3E34">
        <w:t xml:space="preserve"> </w:t>
      </w:r>
      <w:r w:rsidR="001B74D3" w:rsidRPr="009D3E34">
        <w:t xml:space="preserve">In considering who influenced participation, </w:t>
      </w:r>
      <w:r w:rsidR="00AC57FB" w:rsidRPr="009D3E34">
        <w:t>t</w:t>
      </w:r>
      <w:r w:rsidR="00992B1D" w:rsidRPr="009D3E34">
        <w:t>he results show how the IIRC</w:t>
      </w:r>
      <w:r w:rsidR="00E84A44" w:rsidRPr="009D3E34">
        <w:t xml:space="preserve"> </w:t>
      </w:r>
      <w:r w:rsidR="00E233E5" w:rsidRPr="009D3E34">
        <w:t>used their ‘relational capital’</w:t>
      </w:r>
      <w:r w:rsidR="00922740" w:rsidRPr="009D3E34">
        <w:rPr>
          <w:rStyle w:val="FootnoteReference"/>
        </w:rPr>
        <w:footnoteReference w:id="6"/>
      </w:r>
      <w:r w:rsidR="00E233E5" w:rsidRPr="009D3E34">
        <w:t xml:space="preserve"> to convene the Corporate Reporting Dialogue</w:t>
      </w:r>
      <w:r w:rsidR="00012719" w:rsidRPr="009D3E34">
        <w:t xml:space="preserve"> and select its members</w:t>
      </w:r>
      <w:r w:rsidR="00410478" w:rsidRPr="009D3E34">
        <w:t xml:space="preserve"> thereby influenc</w:t>
      </w:r>
      <w:r w:rsidR="00E84A44" w:rsidRPr="009D3E34">
        <w:t>ing</w:t>
      </w:r>
      <w:r w:rsidR="00410478" w:rsidRPr="009D3E34">
        <w:t xml:space="preserve"> who was at the table</w:t>
      </w:r>
      <w:r w:rsidR="00E233E5" w:rsidRPr="009D3E34">
        <w:t>.</w:t>
      </w:r>
      <w:r w:rsidR="00410478" w:rsidRPr="009D3E34">
        <w:t xml:space="preserve"> </w:t>
      </w:r>
      <w:r w:rsidR="007B16B4" w:rsidRPr="009D3E34">
        <w:t>However, the legitimacy of Dialogue activity relied on attracting and retaining the right categories of members. From the dataset, participants detail how the IIRC sought to enlist both strong competitors and those emerging, smaller standardisers. Here, the selection of Dialogue members can be explicated by conceptions of meta-organising (</w:t>
      </w:r>
      <w:proofErr w:type="spellStart"/>
      <w:r w:rsidR="007B16B4" w:rsidRPr="009D3E34">
        <w:t>Ahrne</w:t>
      </w:r>
      <w:proofErr w:type="spellEnd"/>
      <w:r w:rsidR="007B16B4" w:rsidRPr="009D3E34">
        <w:t xml:space="preserve"> &amp; </w:t>
      </w:r>
      <w:proofErr w:type="spellStart"/>
      <w:r w:rsidR="007B16B4" w:rsidRPr="009D3E34">
        <w:t>Brunsson</w:t>
      </w:r>
      <w:proofErr w:type="spellEnd"/>
      <w:r w:rsidR="007B16B4" w:rsidRPr="009D3E34">
        <w:t>, 2005). Whilst the Corporate Reporting Dialogue offered collective benefits through its potential to secure external legitimacy for an integrated ‘sustainability’ reporting solution (Gordon &amp; Johnson, 2017), standardisers ha</w:t>
      </w:r>
      <w:r w:rsidR="008F427A" w:rsidRPr="009D3E34">
        <w:t>d</w:t>
      </w:r>
      <w:r w:rsidR="007B16B4" w:rsidRPr="009D3E34">
        <w:t xml:space="preserve"> little to gain from being outside the Dialogue, given the low ‘joining cost’ of entry. The depiction of the ‘confused reporting landscape’ by </w:t>
      </w:r>
      <w:proofErr w:type="gramStart"/>
      <w:r w:rsidR="007B16B4" w:rsidRPr="009D3E34">
        <w:t>policy-makers</w:t>
      </w:r>
      <w:proofErr w:type="gramEnd"/>
      <w:r w:rsidR="007B16B4" w:rsidRPr="009D3E34">
        <w:t xml:space="preserve">, regulators, firms and stock exchanges provided a common ‘correlated goal’ (Abbott et al., 2015) for all members to </w:t>
      </w:r>
      <w:r w:rsidR="008222EE" w:rsidRPr="009D3E34">
        <w:t xml:space="preserve">be </w:t>
      </w:r>
      <w:r w:rsidR="007B16B4" w:rsidRPr="009D3E34">
        <w:t xml:space="preserve">seen </w:t>
      </w:r>
      <w:r w:rsidR="008222EE" w:rsidRPr="009D3E34">
        <w:t>as</w:t>
      </w:r>
      <w:r w:rsidR="007B16B4" w:rsidRPr="009D3E34">
        <w:t xml:space="preserve"> part of </w:t>
      </w:r>
      <w:r w:rsidR="007B16B4" w:rsidRPr="009D3E34">
        <w:lastRenderedPageBreak/>
        <w:t xml:space="preserve">the solution. Therefore, the GRI, who issued the most frequently adopted sustainability standards, became a member despite having a different ideological vision of sustainability reporting to the IIRC and others. Yet, stronger organisations have less to gain from joining the Dialogue given their ability to achieve their goals alone. In this case, the IASB, the FASB and the ISO all represent powerful established standardisers who contributed little to the Dialogue except their reputation, given they have the means to pursue globally influential standards independently of a collaborative initiative. For the ISO and FASB, the ‘joining fee’ was minimised further by taking on observer status. However, the inclusion of strong, well-funded and politically powerful standardisers such as the IASB, the ISO and the FASB offered the Corporate Reporting Dialogue </w:t>
      </w:r>
      <w:r w:rsidR="00D13C7A" w:rsidRPr="009D3E34">
        <w:t xml:space="preserve">the legitimacy </w:t>
      </w:r>
      <w:r w:rsidR="007B16B4" w:rsidRPr="009D3E34">
        <w:t xml:space="preserve">to influence potential ‘targets’ such as regulators and </w:t>
      </w:r>
      <w:r w:rsidR="008F427A" w:rsidRPr="009D3E34">
        <w:t>supranational bodies</w:t>
      </w:r>
      <w:r w:rsidR="007B16B4" w:rsidRPr="009D3E34">
        <w:t>.</w:t>
      </w:r>
    </w:p>
    <w:p w14:paraId="2135F144" w14:textId="55BFCC82" w:rsidR="001954ED" w:rsidRPr="009D3E34" w:rsidRDefault="000E31F8" w:rsidP="0024667E">
      <w:pPr>
        <w:pStyle w:val="nikoneindenttext15"/>
      </w:pPr>
      <w:r w:rsidRPr="009D3E34">
        <w:t xml:space="preserve">However, whilst membership choices strengthen the </w:t>
      </w:r>
      <w:r w:rsidR="00B549A6" w:rsidRPr="009D3E34">
        <w:t>legitimacy</w:t>
      </w:r>
      <w:r w:rsidRPr="009D3E34">
        <w:t xml:space="preserve"> of the Corporate Reporting Dialogue, they may stymie the scope for collective action. </w:t>
      </w:r>
      <w:r w:rsidR="001954ED" w:rsidRPr="009D3E34">
        <w:t xml:space="preserve">Although the members of the Corporate Reporting Dialogue focused on different aspects of reporting (climate-change, ‘sustainability’, value creation, financial performance) and offered different granularities of standardisation (frameworks, </w:t>
      </w:r>
      <w:proofErr w:type="gramStart"/>
      <w:r w:rsidR="001954ED" w:rsidRPr="009D3E34">
        <w:t>principles</w:t>
      </w:r>
      <w:proofErr w:type="gramEnd"/>
      <w:r w:rsidR="001954ED" w:rsidRPr="009D3E34">
        <w:t xml:space="preserve"> and detailed metrics), divisions were fundamentally based on the aims of reporting. Whilst the biggest standardiser, the GRI, focused on standardising the reporting of corporate impacts </w:t>
      </w:r>
      <w:r w:rsidR="001954ED" w:rsidRPr="009D3E34">
        <w:rPr>
          <w:i/>
        </w:rPr>
        <w:t>on</w:t>
      </w:r>
      <w:r w:rsidR="001954ED" w:rsidRPr="009D3E34">
        <w:t xml:space="preserve"> society, </w:t>
      </w:r>
      <w:r w:rsidR="001954ED" w:rsidRPr="009D3E34">
        <w:rPr>
          <w:i/>
        </w:rPr>
        <w:t>on</w:t>
      </w:r>
      <w:r w:rsidR="001954ED" w:rsidRPr="009D3E34">
        <w:t xml:space="preserve"> the environment and </w:t>
      </w:r>
      <w:r w:rsidR="001954ED" w:rsidRPr="009D3E34">
        <w:rPr>
          <w:i/>
        </w:rPr>
        <w:t>on</w:t>
      </w:r>
      <w:r w:rsidR="001954ED" w:rsidRPr="009D3E34">
        <w:t xml:space="preserve"> sustainable development that were judged to be material to stakeholders of the firm, the majority of the other members focused on standardising the reporting of how societal and environmental change would impact </w:t>
      </w:r>
      <w:r w:rsidR="001954ED" w:rsidRPr="009D3E34">
        <w:rPr>
          <w:i/>
        </w:rPr>
        <w:t>on</w:t>
      </w:r>
      <w:r w:rsidR="001954ED" w:rsidRPr="009D3E34">
        <w:t xml:space="preserve"> the future value of the firm </w:t>
      </w:r>
      <w:proofErr w:type="gramStart"/>
      <w:r w:rsidR="001954ED" w:rsidRPr="009D3E34">
        <w:t>where</w:t>
      </w:r>
      <w:proofErr w:type="gramEnd"/>
      <w:r w:rsidR="001954ED" w:rsidRPr="009D3E34">
        <w:t xml:space="preserve"> deemed</w:t>
      </w:r>
      <w:r w:rsidR="00D13C7A" w:rsidRPr="009D3E34">
        <w:t xml:space="preserve"> by management to be </w:t>
      </w:r>
      <w:r w:rsidR="001954ED" w:rsidRPr="009D3E34">
        <w:t xml:space="preserve">material to financial investors. </w:t>
      </w:r>
      <w:r w:rsidR="00212D9D" w:rsidRPr="009D3E34">
        <w:t xml:space="preserve">Although the Dialogue was largely successful in downplaying the ideological differences, </w:t>
      </w:r>
      <w:r w:rsidR="001954ED" w:rsidRPr="009D3E34">
        <w:t xml:space="preserve">tensions </w:t>
      </w:r>
      <w:r w:rsidR="00212D9D" w:rsidRPr="009D3E34">
        <w:t xml:space="preserve">remained </w:t>
      </w:r>
      <w:r w:rsidR="001954ED" w:rsidRPr="009D3E34">
        <w:t xml:space="preserve">between </w:t>
      </w:r>
      <w:r w:rsidR="00E52CB5" w:rsidRPr="009D3E34">
        <w:t>those</w:t>
      </w:r>
      <w:r w:rsidR="001954ED" w:rsidRPr="009D3E34">
        <w:t xml:space="preserve"> </w:t>
      </w:r>
      <w:r w:rsidR="00E52CB5" w:rsidRPr="009D3E34">
        <w:t>standardisers</w:t>
      </w:r>
      <w:r w:rsidR="001954ED" w:rsidRPr="009D3E34">
        <w:t xml:space="preserve"> offering rival reporting </w:t>
      </w:r>
      <w:r w:rsidR="00E52CB5" w:rsidRPr="009D3E34">
        <w:t>visions</w:t>
      </w:r>
      <w:r w:rsidR="001954ED" w:rsidRPr="009D3E34">
        <w:t xml:space="preserve"> which </w:t>
      </w:r>
      <w:r w:rsidR="00E52CB5" w:rsidRPr="009D3E34">
        <w:t>occasionally</w:t>
      </w:r>
      <w:r w:rsidR="001954ED" w:rsidRPr="009D3E34">
        <w:t xml:space="preserve"> </w:t>
      </w:r>
      <w:r w:rsidR="00E52CB5" w:rsidRPr="009D3E34">
        <w:t>flared</w:t>
      </w:r>
      <w:r w:rsidR="001954ED" w:rsidRPr="009D3E34">
        <w:t xml:space="preserve"> up in public </w:t>
      </w:r>
      <w:r w:rsidR="00AC57FB" w:rsidRPr="009D3E34">
        <w:t>as</w:t>
      </w:r>
      <w:r w:rsidR="00E52CB5" w:rsidRPr="009D3E34">
        <w:t xml:space="preserve"> shown in the findings</w:t>
      </w:r>
      <w:r w:rsidR="001954ED" w:rsidRPr="009D3E34">
        <w:t>.</w:t>
      </w:r>
    </w:p>
    <w:p w14:paraId="59A115E6" w14:textId="2AD37028" w:rsidR="008E60BE" w:rsidRPr="009D3E34" w:rsidRDefault="008E60BE" w:rsidP="0024667E">
      <w:pPr>
        <w:pStyle w:val="nikoneindenttext15"/>
      </w:pPr>
      <w:r w:rsidRPr="009D3E34">
        <w:t xml:space="preserve">Nevertheless, collaborative initiatives offer a means to manufacture a consensus that obscures </w:t>
      </w:r>
      <w:r w:rsidR="00B549A6" w:rsidRPr="009D3E34">
        <w:t xml:space="preserve">these </w:t>
      </w:r>
      <w:r w:rsidRPr="009D3E34">
        <w:t xml:space="preserve">ideological tensions. For example, judgements within the ‘Better Alignment’ project were largely based on self-assessment – unsurprisingly, all project standardisers reported to be well aligned with the TCFD recommendations despite the differences in their aims, scope, </w:t>
      </w:r>
      <w:proofErr w:type="gramStart"/>
      <w:r w:rsidRPr="009D3E34">
        <w:t>users</w:t>
      </w:r>
      <w:proofErr w:type="gramEnd"/>
      <w:r w:rsidRPr="009D3E34">
        <w:t xml:space="preserve"> and notions of materiality.</w:t>
      </w:r>
    </w:p>
    <w:p w14:paraId="540C48F5" w14:textId="2D758F87" w:rsidR="001954ED" w:rsidRPr="009D3E34" w:rsidRDefault="001954ED" w:rsidP="0024667E">
      <w:pPr>
        <w:pStyle w:val="nikoneindenttext15"/>
      </w:pPr>
    </w:p>
    <w:p w14:paraId="0DEB59B1" w14:textId="18B24A1A" w:rsidR="00F84731" w:rsidRPr="009D3E34" w:rsidRDefault="001B74D3" w:rsidP="0024667E">
      <w:pPr>
        <w:pStyle w:val="nikoneindenttext15"/>
      </w:pPr>
      <w:r w:rsidRPr="009D3E34">
        <w:t xml:space="preserve">In considering who influenced the direction of the Corporate Reporting Dialogue, </w:t>
      </w:r>
      <w:r w:rsidR="00AC57FB" w:rsidRPr="009D3E34">
        <w:t>t</w:t>
      </w:r>
      <w:r w:rsidR="00F84731" w:rsidRPr="009D3E34">
        <w:t xml:space="preserve">he analysis reveals how the role and intended trajectory of the Dialogue changed, from a body </w:t>
      </w:r>
      <w:r w:rsidR="00F84731" w:rsidRPr="009D3E34">
        <w:lastRenderedPageBreak/>
        <w:t>seeking to offer a standardised vision of the world accordant with the IIRC &lt;IR&gt; framework, to a body seeking to align sustainability reporting that would support the differing objectives of the TCFD (</w:t>
      </w:r>
      <w:proofErr w:type="spellStart"/>
      <w:r w:rsidR="00F84731" w:rsidRPr="009D3E34">
        <w:t>O’Dwyer</w:t>
      </w:r>
      <w:proofErr w:type="spellEnd"/>
      <w:r w:rsidR="00F84731" w:rsidRPr="009D3E34">
        <w:t xml:space="preserve"> &amp; </w:t>
      </w:r>
      <w:proofErr w:type="spellStart"/>
      <w:r w:rsidR="00F84731" w:rsidRPr="009D3E34">
        <w:t>Unerman</w:t>
      </w:r>
      <w:proofErr w:type="spellEnd"/>
      <w:r w:rsidR="00F84731" w:rsidRPr="009D3E34">
        <w:t xml:space="preserve">, 2020). The Corporate Reporting Dialogue commenced as an “umbrella for dialogue on corporate reporting” (IFAC, 2017:7) being held by the IIRC and seeking to align a consensus around only reporting on wider social and environmental impacts where are they are perceived to affect the value creation processes of financial investors. However, it became an umbrella being held by the TCFD and used as means to harmonise existing frameworks with its recommendations for disclosures relating to assessing </w:t>
      </w:r>
      <w:r w:rsidR="00AC57FB" w:rsidRPr="009D3E34">
        <w:t xml:space="preserve">systemic </w:t>
      </w:r>
      <w:r w:rsidR="00F84731" w:rsidRPr="009D3E34">
        <w:t>climate-change related financial risks.</w:t>
      </w:r>
    </w:p>
    <w:p w14:paraId="74192C88" w14:textId="72DF36F2" w:rsidR="001B74D3" w:rsidRPr="009D3E34" w:rsidRDefault="00880EEC" w:rsidP="0024667E">
      <w:pPr>
        <w:pStyle w:val="nikoneindenttext15"/>
      </w:pPr>
      <w:r w:rsidRPr="009D3E34">
        <w:t xml:space="preserve">Whilst orchestrators may establish new initiatives, they may seek to shape existing ones (Gordon &amp; Johnson, 2017). In this case, the TCFD can be characterised as a strong orchestrator, with the political power and financial resources to manage relationships, and promote coherence and coordination, who </w:t>
      </w:r>
      <w:r w:rsidR="00FD370F" w:rsidRPr="009D3E34">
        <w:t>usurped</w:t>
      </w:r>
      <w:r w:rsidRPr="009D3E34">
        <w:t xml:space="preserve"> the IIRC, the comparatively weaker orchestrator who had established the Corporate Reporting Dialogue. </w:t>
      </w:r>
      <w:r w:rsidR="001B74D3" w:rsidRPr="009D3E34">
        <w:t xml:space="preserve">Sources of orchestral </w:t>
      </w:r>
      <w:r w:rsidR="00B549A6" w:rsidRPr="009D3E34">
        <w:t>power</w:t>
      </w:r>
      <w:r w:rsidR="001B74D3" w:rsidRPr="009D3E34">
        <w:t xml:space="preserve"> can be material or relational (Gordon &amp; Johnson, 2017), and successful orchestrators offer more resources, </w:t>
      </w:r>
      <w:proofErr w:type="gramStart"/>
      <w:r w:rsidR="001B74D3" w:rsidRPr="009D3E34">
        <w:t>legitimacy</w:t>
      </w:r>
      <w:proofErr w:type="gramEnd"/>
      <w:r w:rsidR="001B74D3" w:rsidRPr="009D3E34">
        <w:t xml:space="preserve"> and authority from their institutional position (Abbott, 2017). The IIRC offered convening support, coordination and was the focal point during the years following the release of the &lt;IR&gt; framework in 2013. The TCFD also offered coordination, plus financial assistance, and powerful political endorsement </w:t>
      </w:r>
      <w:bookmarkStart w:id="22" w:name="_Hlk73014077"/>
      <w:r w:rsidR="001B74D3" w:rsidRPr="009D3E34">
        <w:t>(</w:t>
      </w:r>
      <w:proofErr w:type="spellStart"/>
      <w:r w:rsidR="001B74D3" w:rsidRPr="009D3E34">
        <w:t>O’Dwyer</w:t>
      </w:r>
      <w:proofErr w:type="spellEnd"/>
      <w:r w:rsidR="001B74D3" w:rsidRPr="009D3E34">
        <w:t xml:space="preserve"> &amp; </w:t>
      </w:r>
      <w:proofErr w:type="spellStart"/>
      <w:r w:rsidR="001B74D3" w:rsidRPr="009D3E34">
        <w:t>Unerman</w:t>
      </w:r>
      <w:proofErr w:type="spellEnd"/>
      <w:r w:rsidR="001B74D3" w:rsidRPr="009D3E34">
        <w:t>, 2020)</w:t>
      </w:r>
      <w:bookmarkEnd w:id="22"/>
      <w:r w:rsidR="001B74D3" w:rsidRPr="009D3E34">
        <w:t>.</w:t>
      </w:r>
    </w:p>
    <w:p w14:paraId="0D23CF30" w14:textId="77777777" w:rsidR="00A5253D" w:rsidRPr="009D3E34" w:rsidRDefault="00A5253D" w:rsidP="0024667E">
      <w:pPr>
        <w:pStyle w:val="nikoneindenttext15"/>
      </w:pPr>
    </w:p>
    <w:bookmarkEnd w:id="21"/>
    <w:p w14:paraId="4E3C49EC" w14:textId="42C30D5A" w:rsidR="003C3751" w:rsidRPr="009D3E34" w:rsidRDefault="00A931E9" w:rsidP="0024667E">
      <w:pPr>
        <w:pStyle w:val="nikoneindenttext15"/>
      </w:pPr>
      <w:r w:rsidRPr="009D3E34">
        <w:t xml:space="preserve">The </w:t>
      </w:r>
      <w:r w:rsidR="00FF5476" w:rsidRPr="009D3E34">
        <w:t>discussion</w:t>
      </w:r>
      <w:r w:rsidRPr="009D3E34">
        <w:t xml:space="preserve"> continues by </w:t>
      </w:r>
      <w:r w:rsidR="00716F27" w:rsidRPr="009D3E34">
        <w:t>develop</w:t>
      </w:r>
      <w:r w:rsidRPr="009D3E34">
        <w:t>ing</w:t>
      </w:r>
      <w:r w:rsidR="00716F27" w:rsidRPr="009D3E34">
        <w:t xml:space="preserve"> </w:t>
      </w:r>
      <w:r w:rsidR="00792174" w:rsidRPr="009D3E34">
        <w:t>the paper’s</w:t>
      </w:r>
      <w:r w:rsidR="00FF5476" w:rsidRPr="009D3E34">
        <w:t xml:space="preserve"> contributions to the literature on standard-setting in </w:t>
      </w:r>
      <w:r w:rsidR="007626E1" w:rsidRPr="009D3E34">
        <w:t>sustainability reporting</w:t>
      </w:r>
      <w:r w:rsidR="00716F27" w:rsidRPr="009D3E34">
        <w:t xml:space="preserve"> based on </w:t>
      </w:r>
      <w:r w:rsidR="003621E0" w:rsidRPr="009D3E34">
        <w:t xml:space="preserve">its </w:t>
      </w:r>
      <w:r w:rsidR="00716F27" w:rsidRPr="009D3E34">
        <w:t>analysis of the Corporate Reporting Dialogue.</w:t>
      </w:r>
    </w:p>
    <w:p w14:paraId="3E82086F" w14:textId="036F8A9C" w:rsidR="00BC6461" w:rsidRPr="009D3E34" w:rsidRDefault="00246314" w:rsidP="0024667E">
      <w:pPr>
        <w:pStyle w:val="nikoneindenttext15"/>
      </w:pPr>
      <w:bookmarkStart w:id="23" w:name="_Hlk109294531"/>
      <w:bookmarkStart w:id="24" w:name="_Hlk110599790"/>
      <w:r w:rsidRPr="009D3E34">
        <w:t xml:space="preserve">Firstly, the paper contributes to our </w:t>
      </w:r>
      <w:bookmarkStart w:id="25" w:name="_Hlk99036841"/>
      <w:r w:rsidRPr="009D3E34">
        <w:t xml:space="preserve">understanding of the role of </w:t>
      </w:r>
      <w:r w:rsidR="00EF7FCC" w:rsidRPr="009D3E34">
        <w:t>multi-standardiser</w:t>
      </w:r>
      <w:r w:rsidRPr="009D3E34">
        <w:t xml:space="preserve"> initiatives on the standardisation of sustainability reporting</w:t>
      </w:r>
      <w:r w:rsidR="00EF7FCC" w:rsidRPr="009D3E34">
        <w:t xml:space="preserve"> </w:t>
      </w:r>
      <w:r w:rsidR="007B7808" w:rsidRPr="009D3E34">
        <w:t>given the advent of an</w:t>
      </w:r>
      <w:r w:rsidR="00D34063" w:rsidRPr="009D3E34">
        <w:t xml:space="preserve"> </w:t>
      </w:r>
      <w:r w:rsidR="00B549A6" w:rsidRPr="009D3E34">
        <w:t>‘</w:t>
      </w:r>
      <w:r w:rsidR="00D34063" w:rsidRPr="009D3E34">
        <w:t>era of co</w:t>
      </w:r>
      <w:r w:rsidR="00212D9D" w:rsidRPr="009D3E34">
        <w:t>llaboration</w:t>
      </w:r>
      <w:r w:rsidR="00B549A6" w:rsidRPr="009D3E34">
        <w:t xml:space="preserve">’ </w:t>
      </w:r>
      <w:bookmarkEnd w:id="23"/>
      <w:r w:rsidR="00B549A6" w:rsidRPr="009D3E34">
        <w:t>(O6)</w:t>
      </w:r>
      <w:r w:rsidR="00EF7FCC" w:rsidRPr="009D3E34">
        <w:t xml:space="preserve">. </w:t>
      </w:r>
      <w:bookmarkStart w:id="26" w:name="_Hlk109294554"/>
      <w:r w:rsidR="00C5734A" w:rsidRPr="009D3E34">
        <w:t xml:space="preserve">By focusing on </w:t>
      </w:r>
      <w:r w:rsidR="00E566CA" w:rsidRPr="009D3E34">
        <w:t>collaborative initiatives</w:t>
      </w:r>
      <w:r w:rsidR="00C5734A" w:rsidRPr="009D3E34">
        <w:t xml:space="preserve">, the </w:t>
      </w:r>
      <w:r w:rsidR="00F472F8" w:rsidRPr="009D3E34">
        <w:t xml:space="preserve">paper </w:t>
      </w:r>
      <w:r w:rsidR="00C5734A" w:rsidRPr="009D3E34">
        <w:t xml:space="preserve">moves </w:t>
      </w:r>
      <w:r w:rsidR="00F472F8" w:rsidRPr="009D3E34">
        <w:t>beyond a</w:t>
      </w:r>
      <w:r w:rsidR="00C5734A" w:rsidRPr="009D3E34">
        <w:t xml:space="preserve"> unitary analysis of single standardisers to a plural view that considers how standardisers interact.</w:t>
      </w:r>
      <w:bookmarkEnd w:id="26"/>
      <w:r w:rsidR="00D20368" w:rsidRPr="009D3E34">
        <w:t xml:space="preserve"> </w:t>
      </w:r>
      <w:bookmarkStart w:id="27" w:name="_Hlk109294576"/>
      <w:r w:rsidR="00D20368" w:rsidRPr="009D3E34">
        <w:t>This approach is used to trace how</w:t>
      </w:r>
      <w:r w:rsidR="00BC6461" w:rsidRPr="009D3E34">
        <w:t xml:space="preserve"> the blueprint adopted by the International Sustainability Standards Board was </w:t>
      </w:r>
      <w:r w:rsidR="00EF7D76" w:rsidRPr="009D3E34">
        <w:t>developed</w:t>
      </w:r>
      <w:r w:rsidR="00BC6461" w:rsidRPr="009D3E34">
        <w:t xml:space="preserve"> by the active members of the Dialogue. Before the advent of the Dialogue, the dominant sustainability standardiser, the GRI, held a position that questioned the status quo. By focusing on how corporate activity affects society and the environment regardless of whether it has a discernible impact on firm value, the GRI’s position presents a challenge to extant </w:t>
      </w:r>
      <w:r w:rsidR="00BC6461" w:rsidRPr="009D3E34">
        <w:lastRenderedPageBreak/>
        <w:t xml:space="preserve">understandings of capitalism - </w:t>
      </w:r>
      <w:proofErr w:type="gramStart"/>
      <w:r w:rsidR="00BC6461" w:rsidRPr="009D3E34">
        <w:t>that maximising returns</w:t>
      </w:r>
      <w:proofErr w:type="gramEnd"/>
      <w:r w:rsidR="00BC6461" w:rsidRPr="009D3E34">
        <w:t xml:space="preserve"> for financial investors may not be commensurate with social and ecological flourishing. This challenge gained further support from the adoption of double materiality as the basis for sustainability reporting in the EU. By the time the Dialogue has formally ended, and the ‘Group of 5’ had presented their joint </w:t>
      </w:r>
      <w:r w:rsidR="00D20368" w:rsidRPr="009D3E34">
        <w:t>‘</w:t>
      </w:r>
      <w:r w:rsidR="00A67ED7" w:rsidRPr="009D3E34">
        <w:t>building blocks</w:t>
      </w:r>
      <w:r w:rsidR="00D20368" w:rsidRPr="009D3E34">
        <w:t>’</w:t>
      </w:r>
      <w:r w:rsidR="00A67ED7" w:rsidRPr="009D3E34">
        <w:t xml:space="preserve"> </w:t>
      </w:r>
      <w:r w:rsidR="00BC6461" w:rsidRPr="009D3E34">
        <w:t xml:space="preserve">solution, the GRI position was </w:t>
      </w:r>
      <w:r w:rsidR="007C0DD6" w:rsidRPr="009D3E34">
        <w:t>deprioritised</w:t>
      </w:r>
      <w:r w:rsidR="00BC6461" w:rsidRPr="009D3E34">
        <w:t xml:space="preserve"> </w:t>
      </w:r>
      <w:r w:rsidR="00C7799D" w:rsidRPr="009D3E34">
        <w:t>under</w:t>
      </w:r>
      <w:r w:rsidR="00BC6461" w:rsidRPr="009D3E34">
        <w:t xml:space="preserve"> the second of two ‘blocks’</w:t>
      </w:r>
      <w:r w:rsidR="002267BC" w:rsidRPr="009D3E34">
        <w:t xml:space="preserve">. Despite the GRI representing the most established and widely used sustainability standards </w:t>
      </w:r>
      <w:r w:rsidR="008E38DB" w:rsidRPr="009D3E34">
        <w:t>throughout</w:t>
      </w:r>
      <w:r w:rsidR="00C1341C" w:rsidRPr="009D3E34">
        <w:t xml:space="preserve"> the Dialogue </w:t>
      </w:r>
      <w:r w:rsidR="002267BC" w:rsidRPr="009D3E34">
        <w:t>(</w:t>
      </w:r>
      <w:r w:rsidR="00157C77" w:rsidRPr="009D3E34">
        <w:t>KPMG, 2020</w:t>
      </w:r>
      <w:r w:rsidR="00607A33" w:rsidRPr="009D3E34">
        <w:t>; Adams et al., 2020</w:t>
      </w:r>
      <w:r w:rsidR="002267BC" w:rsidRPr="009D3E34">
        <w:t xml:space="preserve">), its vision of sustainability reporting is given the same credence as other standardisers in a collaborative initiative. </w:t>
      </w:r>
      <w:proofErr w:type="gramStart"/>
      <w:r w:rsidR="000E7475" w:rsidRPr="009D3E34">
        <w:t>As a consequence</w:t>
      </w:r>
      <w:proofErr w:type="gramEnd"/>
      <w:r w:rsidR="000E7475" w:rsidRPr="009D3E34">
        <w:t xml:space="preserve">, </w:t>
      </w:r>
      <w:r w:rsidR="00BC6461" w:rsidRPr="009D3E34">
        <w:t xml:space="preserve">Adams &amp; </w:t>
      </w:r>
      <w:proofErr w:type="spellStart"/>
      <w:r w:rsidR="00BC6461" w:rsidRPr="009D3E34">
        <w:t>Abhayawansa</w:t>
      </w:r>
      <w:proofErr w:type="spellEnd"/>
      <w:r w:rsidR="00BC6461" w:rsidRPr="009D3E34">
        <w:t xml:space="preserve"> (2021) question whether the Group of 5 acted as a means to diminish the status of the GRI. The </w:t>
      </w:r>
      <w:r w:rsidR="00A67ED7" w:rsidRPr="009D3E34">
        <w:t>building blocks</w:t>
      </w:r>
      <w:r w:rsidR="00BC6461" w:rsidRPr="009D3E34">
        <w:t xml:space="preserve">, ‘gradualist’ approach adopted </w:t>
      </w:r>
      <w:r w:rsidR="00A61932" w:rsidRPr="009D3E34">
        <w:t xml:space="preserve">by </w:t>
      </w:r>
      <w:r w:rsidR="00BC6461" w:rsidRPr="009D3E34">
        <w:t>the International Sustainability Standards Board prioritis</w:t>
      </w:r>
      <w:r w:rsidR="00FD370F" w:rsidRPr="009D3E34">
        <w:t>ed</w:t>
      </w:r>
      <w:r w:rsidR="00BC6461" w:rsidRPr="009D3E34">
        <w:t xml:space="preserve"> ‘block </w:t>
      </w:r>
      <w:r w:rsidR="0045775A" w:rsidRPr="009D3E34">
        <w:t>1</w:t>
      </w:r>
      <w:r w:rsidR="00BC6461" w:rsidRPr="009D3E34">
        <w:t>’ reporting on the impact of societal and environmental changes on enterprise value and only extended to ‘block 2’ “if more jurisdictions embrace the double-materiality concept to minimi</w:t>
      </w:r>
      <w:r w:rsidR="00081A5D" w:rsidRPr="009D3E34">
        <w:t>s</w:t>
      </w:r>
      <w:r w:rsidR="00BC6461" w:rsidRPr="009D3E34">
        <w:t>e the risks of global and jurisdictional fragmentation of standards” (IFRS</w:t>
      </w:r>
      <w:r w:rsidR="009137A5" w:rsidRPr="009D3E34">
        <w:t>F</w:t>
      </w:r>
      <w:r w:rsidR="00BC6461" w:rsidRPr="009D3E34">
        <w:t xml:space="preserve">, 2020:14). </w:t>
      </w:r>
      <w:r w:rsidR="009637F0" w:rsidRPr="009D3E34">
        <w:t>T</w:t>
      </w:r>
      <w:r w:rsidR="00BC6461" w:rsidRPr="009D3E34">
        <w:t xml:space="preserve">he Corporate Reporting Dialogue and its successor initiatives can </w:t>
      </w:r>
      <w:r w:rsidR="009637F0" w:rsidRPr="009D3E34">
        <w:t xml:space="preserve">therefore </w:t>
      </w:r>
      <w:r w:rsidR="00BC6461" w:rsidRPr="009D3E34">
        <w:t>be seen as vehicles used to establish the normativity of a specific worldview of sustainability reporting (Bebbington et al., 2012) based on investor-orientated enterprise value creation.</w:t>
      </w:r>
    </w:p>
    <w:p w14:paraId="1AE35441" w14:textId="77777777" w:rsidR="008222EE" w:rsidRPr="009D3E34" w:rsidRDefault="008222EE" w:rsidP="0024667E">
      <w:pPr>
        <w:pStyle w:val="nikoneindenttext15"/>
      </w:pPr>
    </w:p>
    <w:p w14:paraId="60D37A5B" w14:textId="2E2C8F1E" w:rsidR="00880EEC" w:rsidRPr="009D3E34" w:rsidRDefault="00B75E37" w:rsidP="0024667E">
      <w:pPr>
        <w:pStyle w:val="nikoneindenttext15"/>
      </w:pPr>
      <w:bookmarkStart w:id="28" w:name="_Hlk109296338"/>
      <w:bookmarkEnd w:id="27"/>
      <w:bookmarkEnd w:id="25"/>
      <w:r w:rsidRPr="009D3E34">
        <w:t>Secondly</w:t>
      </w:r>
      <w:r w:rsidR="00FA3B59" w:rsidRPr="009D3E34">
        <w:t xml:space="preserve">, the paper highlights </w:t>
      </w:r>
      <w:bookmarkStart w:id="29" w:name="_Hlk99037684"/>
      <w:r w:rsidR="00FA3B59" w:rsidRPr="009D3E34">
        <w:t xml:space="preserve">the influence of </w:t>
      </w:r>
      <w:r w:rsidR="00E23C5A" w:rsidRPr="009D3E34">
        <w:t>specific</w:t>
      </w:r>
      <w:r w:rsidR="00FA3B59" w:rsidRPr="009D3E34">
        <w:t xml:space="preserve"> </w:t>
      </w:r>
      <w:r w:rsidR="00E23C5A" w:rsidRPr="009D3E34">
        <w:t>orchestrators</w:t>
      </w:r>
      <w:r w:rsidR="00FA3B59" w:rsidRPr="009D3E34">
        <w:t xml:space="preserve"> on the standardisation of sustainability reporting</w:t>
      </w:r>
      <w:r w:rsidR="00D823A8" w:rsidRPr="009D3E34">
        <w:t xml:space="preserve">, </w:t>
      </w:r>
      <w:r w:rsidR="00E23C5A" w:rsidRPr="009D3E34">
        <w:t>as the orchestration of the Corporate Reporting Dialogue moved from its initial conductor, the IIRC, to the TCFD</w:t>
      </w:r>
      <w:bookmarkEnd w:id="29"/>
      <w:r w:rsidR="00E23C5A" w:rsidRPr="009D3E34">
        <w:t>.</w:t>
      </w:r>
    </w:p>
    <w:p w14:paraId="5B82B1F0" w14:textId="39D3DFA2" w:rsidR="00210A9A" w:rsidRPr="009D3E34" w:rsidRDefault="00C37E9D" w:rsidP="0024667E">
      <w:pPr>
        <w:pStyle w:val="nikoneindenttext15"/>
      </w:pPr>
      <w:r w:rsidRPr="009D3E34">
        <w:t>The analysis also draws attention to the role of Bloomberg</w:t>
      </w:r>
      <w:r w:rsidR="003A294A" w:rsidRPr="009D3E34">
        <w:t xml:space="preserve"> </w:t>
      </w:r>
      <w:r w:rsidRPr="009D3E34">
        <w:t xml:space="preserve">in </w:t>
      </w:r>
      <w:r w:rsidR="003A294A" w:rsidRPr="009D3E34">
        <w:t>influencing</w:t>
      </w:r>
      <w:r w:rsidRPr="009D3E34">
        <w:t xml:space="preserve"> the TCFD and the Corporate Reporting Dialogue through funding and personnel. As a </w:t>
      </w:r>
      <w:r w:rsidR="00097E7B" w:rsidRPr="009D3E34">
        <w:t xml:space="preserve">global </w:t>
      </w:r>
      <w:r w:rsidRPr="009D3E34">
        <w:t xml:space="preserve">provider of standardised corporate information sets to financial investors, its role in orchestration can perhaps </w:t>
      </w:r>
      <w:bookmarkStart w:id="30" w:name="_Hlk99037763"/>
      <w:r w:rsidRPr="009D3E34">
        <w:t>obscure its influence and funding akin to the role of ‘independent thinktanks’ in political and social policy formation</w:t>
      </w:r>
      <w:r w:rsidR="005070DE" w:rsidRPr="009D3E34">
        <w:t xml:space="preserve"> </w:t>
      </w:r>
      <w:bookmarkEnd w:id="30"/>
      <w:r w:rsidR="005070DE" w:rsidRPr="009D3E34">
        <w:t>(Cave &amp; Rowell, 2015)</w:t>
      </w:r>
      <w:r w:rsidRPr="009D3E34">
        <w:t>.</w:t>
      </w:r>
      <w:r w:rsidR="003A294A" w:rsidRPr="009D3E34">
        <w:t xml:space="preserve"> </w:t>
      </w:r>
      <w:r w:rsidR="00210A9A" w:rsidRPr="009D3E34">
        <w:t>As IOSCO (2020</w:t>
      </w:r>
      <w:r w:rsidR="00B45A15" w:rsidRPr="009D3E34">
        <w:t>a</w:t>
      </w:r>
      <w:r w:rsidR="00210A9A" w:rsidRPr="009D3E34">
        <w:t>:14) note</w:t>
      </w:r>
      <w:r w:rsidR="003A294A" w:rsidRPr="009D3E34">
        <w:t xml:space="preserve">, the funding of private sustainability standardisers </w:t>
      </w:r>
      <w:r w:rsidR="00210A9A" w:rsidRPr="009D3E34">
        <w:t>“as a whole, comes through a variety of sources and there is limited indication of how potential conflicts of interest are managed”</w:t>
      </w:r>
      <w:r w:rsidR="003A294A" w:rsidRPr="009D3E34">
        <w:t>. The role of Bloomberg Philan</w:t>
      </w:r>
      <w:r w:rsidR="004F0761" w:rsidRPr="009D3E34">
        <w:t xml:space="preserve">thropies </w:t>
      </w:r>
      <w:r w:rsidR="00D5625C" w:rsidRPr="009D3E34">
        <w:t xml:space="preserve">and others </w:t>
      </w:r>
      <w:r w:rsidR="004F0761" w:rsidRPr="009D3E34">
        <w:t xml:space="preserve">in sustainability reporting standardisation also supports </w:t>
      </w:r>
      <w:bookmarkStart w:id="31" w:name="_Hlk99037822"/>
      <w:r w:rsidR="004F0761" w:rsidRPr="009D3E34">
        <w:t>the critique of ‘</w:t>
      </w:r>
      <w:proofErr w:type="spellStart"/>
      <w:r w:rsidR="00211CB9" w:rsidRPr="009D3E34">
        <w:t>philanthrocapitalism</w:t>
      </w:r>
      <w:proofErr w:type="spellEnd"/>
      <w:r w:rsidR="004F0761" w:rsidRPr="009D3E34">
        <w:t>’</w:t>
      </w:r>
      <w:r w:rsidR="00211CB9" w:rsidRPr="009D3E34">
        <w:t xml:space="preserve"> that </w:t>
      </w:r>
      <w:r w:rsidR="004F0761" w:rsidRPr="009D3E34">
        <w:t xml:space="preserve">questions whether the self-interests of philanthropic foundations and public welfare are commensurate </w:t>
      </w:r>
      <w:bookmarkEnd w:id="31"/>
      <w:r w:rsidR="004F0761" w:rsidRPr="009D3E34">
        <w:t>(</w:t>
      </w:r>
      <w:proofErr w:type="spellStart"/>
      <w:r w:rsidR="004F0761" w:rsidRPr="009D3E34">
        <w:t>McGoey</w:t>
      </w:r>
      <w:proofErr w:type="spellEnd"/>
      <w:r w:rsidR="004F0761" w:rsidRPr="009D3E34">
        <w:t xml:space="preserve">, 2012; </w:t>
      </w:r>
      <w:proofErr w:type="spellStart"/>
      <w:r w:rsidR="00211CB9" w:rsidRPr="009D3E34">
        <w:t>McGoey</w:t>
      </w:r>
      <w:proofErr w:type="spellEnd"/>
      <w:r w:rsidR="00211CB9" w:rsidRPr="009D3E34">
        <w:t xml:space="preserve"> et al., 2018)</w:t>
      </w:r>
      <w:r w:rsidR="004F0761" w:rsidRPr="009D3E34">
        <w:t>.</w:t>
      </w:r>
    </w:p>
    <w:p w14:paraId="14EB2BE3" w14:textId="77777777" w:rsidR="008222EE" w:rsidRPr="009D3E34" w:rsidRDefault="008222EE" w:rsidP="00A61932">
      <w:pPr>
        <w:pStyle w:val="nikoneindenttext15"/>
      </w:pPr>
      <w:bookmarkStart w:id="32" w:name="_Hlk109294803"/>
      <w:bookmarkStart w:id="33" w:name="_Hlk99037873"/>
      <w:bookmarkStart w:id="34" w:name="_Hlk109296421"/>
      <w:bookmarkEnd w:id="28"/>
    </w:p>
    <w:p w14:paraId="25F2675F" w14:textId="38B93326" w:rsidR="00B75E37" w:rsidRPr="009D3E34" w:rsidRDefault="00B75E37" w:rsidP="00A61932">
      <w:pPr>
        <w:pStyle w:val="nikoneindenttext15"/>
      </w:pPr>
      <w:r w:rsidRPr="009D3E34">
        <w:lastRenderedPageBreak/>
        <w:t xml:space="preserve">Thirdly, the paper adds to our understanding of the role of legitimacy generation in standard-setting. </w:t>
      </w:r>
      <w:bookmarkStart w:id="35" w:name="_Hlk99037519"/>
      <w:r w:rsidRPr="009D3E34">
        <w:t xml:space="preserve">Literature discusses how private standardisers rely on generating perceptions of legitimacy through due processes that present themselves as technical, neutral, and non-political, where different due process procedures are theorised to generate different forms of legitimacy </w:t>
      </w:r>
      <w:bookmarkEnd w:id="35"/>
      <w:r w:rsidRPr="009D3E34">
        <w:t xml:space="preserve">(see </w:t>
      </w:r>
      <w:proofErr w:type="spellStart"/>
      <w:r w:rsidRPr="009D3E34">
        <w:t>Botzem</w:t>
      </w:r>
      <w:proofErr w:type="spellEnd"/>
      <w:r w:rsidRPr="009D3E34">
        <w:t xml:space="preserve"> &amp; </w:t>
      </w:r>
      <w:proofErr w:type="spellStart"/>
      <w:r w:rsidRPr="009D3E34">
        <w:t>Dobusch</w:t>
      </w:r>
      <w:proofErr w:type="spellEnd"/>
      <w:r w:rsidRPr="009D3E34">
        <w:t xml:space="preserve">, 2012; </w:t>
      </w:r>
      <w:proofErr w:type="spellStart"/>
      <w:r w:rsidRPr="009D3E34">
        <w:t>Albareda</w:t>
      </w:r>
      <w:proofErr w:type="spellEnd"/>
      <w:r w:rsidRPr="009D3E34">
        <w:t xml:space="preserve">, 2013; </w:t>
      </w:r>
      <w:proofErr w:type="spellStart"/>
      <w:r w:rsidRPr="009D3E34">
        <w:t>Malsch</w:t>
      </w:r>
      <w:proofErr w:type="spellEnd"/>
      <w:r w:rsidRPr="009D3E34">
        <w:t xml:space="preserve">, 2013; Young, 2014; </w:t>
      </w:r>
      <w:proofErr w:type="spellStart"/>
      <w:r w:rsidRPr="009D3E34">
        <w:t>Pelger</w:t>
      </w:r>
      <w:proofErr w:type="spellEnd"/>
      <w:r w:rsidRPr="009D3E34">
        <w:t xml:space="preserve"> &amp; </w:t>
      </w:r>
      <w:proofErr w:type="spellStart"/>
      <w:r w:rsidRPr="009D3E34">
        <w:t>Speiß</w:t>
      </w:r>
      <w:proofErr w:type="spellEnd"/>
      <w:r w:rsidRPr="009D3E34">
        <w:t>, 2017).</w:t>
      </w:r>
      <w:r w:rsidR="00E566CA" w:rsidRPr="009D3E34">
        <w:t xml:space="preserve"> </w:t>
      </w:r>
      <w:r w:rsidRPr="009D3E34">
        <w:t xml:space="preserve">Whereas </w:t>
      </w:r>
      <w:r w:rsidR="00A61932" w:rsidRPr="009D3E34">
        <w:t>extant</w:t>
      </w:r>
      <w:r w:rsidRPr="009D3E34">
        <w:t xml:space="preserve"> literature generally focuses on individual standardisers and how they generate legitimacy for their standards, this paper focuses on how collaborative standardising initiatives that comprise of several different standardisers</w:t>
      </w:r>
      <w:r w:rsidR="00894656" w:rsidRPr="009D3E34">
        <w:t xml:space="preserve"> </w:t>
      </w:r>
      <w:r w:rsidRPr="009D3E34">
        <w:t xml:space="preserve">offer </w:t>
      </w:r>
      <w:r w:rsidR="005A474D" w:rsidRPr="009D3E34">
        <w:t>an additional</w:t>
      </w:r>
      <w:r w:rsidRPr="009D3E34">
        <w:t xml:space="preserve"> means to generate input legitimacy. </w:t>
      </w:r>
      <w:bookmarkStart w:id="36" w:name="_Hlk99037552"/>
      <w:r w:rsidR="007403DC" w:rsidRPr="009D3E34">
        <w:t>Collaborative initiatives such as the Corporate Reporting Dialogue are used to obscure distinctions between the ideologies underpinning different standards to gain legitimacy and support.</w:t>
      </w:r>
      <w:r w:rsidR="00A93AA5" w:rsidRPr="009D3E34">
        <w:t xml:space="preserve"> This paper therefore extends the scope of prior work by considering how collaborative initiatives can assimilate dissenting </w:t>
      </w:r>
      <w:proofErr w:type="gramStart"/>
      <w:r w:rsidR="00A93AA5" w:rsidRPr="009D3E34">
        <w:t>views, and</w:t>
      </w:r>
      <w:proofErr w:type="gramEnd"/>
      <w:r w:rsidR="00A93AA5" w:rsidRPr="009D3E34">
        <w:t xml:space="preserve"> present them as a part of an apparently legitimate consensual solution. In this case, the Dialogue and the ‘Group of 5’ both sought to bring in and assimilate the dominant GRI view but then deprioritise it as a small part of the overall solution. In doing so, the process provides legitimacy to what was the minority view in sustainability reporting which was at odds with most sustainability reporting practice.</w:t>
      </w:r>
      <w:bookmarkEnd w:id="36"/>
      <w:r w:rsidR="00A61932" w:rsidRPr="009D3E34">
        <w:t xml:space="preserve"> </w:t>
      </w:r>
      <w:r w:rsidRPr="009D3E34">
        <w:t xml:space="preserve">However, whilst the Dialogue and the ‘Group of 5’ are used to foster ‘input legitimacy’ for a vision of reporting that prioritises only disclosures that discernibly affect enterprise value, the ‘output legitimacy’ </w:t>
      </w:r>
      <w:r w:rsidR="005945AF" w:rsidRPr="009D3E34">
        <w:t>(</w:t>
      </w:r>
      <w:proofErr w:type="spellStart"/>
      <w:r w:rsidR="005945AF" w:rsidRPr="009D3E34">
        <w:t>Botzem</w:t>
      </w:r>
      <w:proofErr w:type="spellEnd"/>
      <w:r w:rsidR="005945AF" w:rsidRPr="009D3E34">
        <w:t xml:space="preserve"> &amp; </w:t>
      </w:r>
      <w:proofErr w:type="spellStart"/>
      <w:r w:rsidR="005945AF" w:rsidRPr="009D3E34">
        <w:t>Dobusch</w:t>
      </w:r>
      <w:proofErr w:type="spellEnd"/>
      <w:r w:rsidR="005945AF" w:rsidRPr="009D3E34">
        <w:t xml:space="preserve">, 2012) </w:t>
      </w:r>
      <w:r w:rsidRPr="009D3E34">
        <w:t>of the International Sustainability Standards Board</w:t>
      </w:r>
      <w:r w:rsidR="008222EE" w:rsidRPr="009D3E34">
        <w:t>’s narrow</w:t>
      </w:r>
      <w:r w:rsidRPr="009D3E34">
        <w:t xml:space="preserve"> approach </w:t>
      </w:r>
      <w:r w:rsidR="008222EE" w:rsidRPr="009D3E34">
        <w:t xml:space="preserve">perhaps </w:t>
      </w:r>
      <w:r w:rsidRPr="009D3E34">
        <w:t>remains uncertain.</w:t>
      </w:r>
    </w:p>
    <w:bookmarkEnd w:id="32"/>
    <w:p w14:paraId="0BB421D8" w14:textId="77777777" w:rsidR="008222EE" w:rsidRPr="009D3E34" w:rsidRDefault="008222EE" w:rsidP="0024667E">
      <w:pPr>
        <w:pStyle w:val="nikoneindenttext15"/>
      </w:pPr>
    </w:p>
    <w:p w14:paraId="787B56CE" w14:textId="33EC1412" w:rsidR="008C3F96" w:rsidRPr="009D3E34" w:rsidRDefault="004F0761" w:rsidP="0024667E">
      <w:pPr>
        <w:pStyle w:val="nikoneindenttext15"/>
      </w:pPr>
      <w:r w:rsidRPr="009D3E34">
        <w:t>The final contribution of the paper explicates the exercise of power within sustainability reporting standardisation</w:t>
      </w:r>
      <w:r w:rsidR="00BD6A46" w:rsidRPr="009D3E34">
        <w:t xml:space="preserve"> and extends the sites of power to consider collaborative initiatives</w:t>
      </w:r>
      <w:bookmarkEnd w:id="33"/>
      <w:r w:rsidR="00016F90" w:rsidRPr="009D3E34">
        <w:t xml:space="preserve">. </w:t>
      </w:r>
      <w:r w:rsidR="002F22C7" w:rsidRPr="009D3E34">
        <w:t>T</w:t>
      </w:r>
      <w:r w:rsidR="00743DC2" w:rsidRPr="009D3E34">
        <w:t xml:space="preserve">he analysis </w:t>
      </w:r>
      <w:bookmarkStart w:id="37" w:name="_Hlk99038105"/>
      <w:r w:rsidR="00743DC2" w:rsidRPr="009D3E34">
        <w:t xml:space="preserve">moves beyond </w:t>
      </w:r>
      <w:r w:rsidR="00016F90" w:rsidRPr="009D3E34">
        <w:t>a</w:t>
      </w:r>
      <w:r w:rsidR="00476183" w:rsidRPr="009D3E34">
        <w:t xml:space="preserve"> </w:t>
      </w:r>
      <w:r w:rsidR="00743DC2" w:rsidRPr="009D3E34">
        <w:t xml:space="preserve">1-D perspective that </w:t>
      </w:r>
      <w:r w:rsidR="00476183" w:rsidRPr="009D3E34">
        <w:t xml:space="preserve">is </w:t>
      </w:r>
      <w:r w:rsidR="00743DC2" w:rsidRPr="009D3E34">
        <w:t xml:space="preserve">premised on liberal market assumptions where all </w:t>
      </w:r>
      <w:r w:rsidR="00A16CD1" w:rsidRPr="009D3E34">
        <w:t>standardisers</w:t>
      </w:r>
      <w:r w:rsidR="00743DC2" w:rsidRPr="009D3E34">
        <w:t xml:space="preserve"> operate under conditions of perfect competition</w:t>
      </w:r>
      <w:r w:rsidR="002F406E" w:rsidRPr="009D3E34">
        <w:t xml:space="preserve"> and moves towards </w:t>
      </w:r>
      <w:r w:rsidR="00476183" w:rsidRPr="009D3E34">
        <w:t xml:space="preserve">more covert </w:t>
      </w:r>
      <w:r w:rsidR="00645A0B" w:rsidRPr="009D3E34">
        <w:t xml:space="preserve">2-D </w:t>
      </w:r>
      <w:r w:rsidR="00045974" w:rsidRPr="009D3E34">
        <w:t xml:space="preserve">and 3-D </w:t>
      </w:r>
      <w:r w:rsidR="00645A0B" w:rsidRPr="009D3E34">
        <w:t xml:space="preserve">mechanisms </w:t>
      </w:r>
      <w:r w:rsidR="008C3F96" w:rsidRPr="009D3E34">
        <w:t>where</w:t>
      </w:r>
      <w:r w:rsidR="00016F90" w:rsidRPr="009D3E34">
        <w:t xml:space="preserve"> </w:t>
      </w:r>
      <w:r w:rsidR="00645A0B" w:rsidRPr="009D3E34">
        <w:t xml:space="preserve">power </w:t>
      </w:r>
      <w:r w:rsidR="008C3F96" w:rsidRPr="009D3E34">
        <w:t>is</w:t>
      </w:r>
      <w:r w:rsidR="00645A0B" w:rsidRPr="009D3E34">
        <w:t xml:space="preserve"> used to mobilise bias</w:t>
      </w:r>
      <w:r w:rsidR="008C3F96" w:rsidRPr="009D3E34">
        <w:t xml:space="preserve">, </w:t>
      </w:r>
      <w:r w:rsidR="00645A0B" w:rsidRPr="009D3E34">
        <w:t>set agendas, influenc</w:t>
      </w:r>
      <w:r w:rsidR="008C3F96" w:rsidRPr="009D3E34">
        <w:t>e</w:t>
      </w:r>
      <w:r w:rsidR="00645A0B" w:rsidRPr="009D3E34">
        <w:t xml:space="preserve"> the boundaries of discussion and deciding who participates in decision making.</w:t>
      </w:r>
      <w:r w:rsidR="008C3F96" w:rsidRPr="009D3E34">
        <w:t xml:space="preserve"> </w:t>
      </w:r>
      <w:bookmarkStart w:id="38" w:name="_Hlk95911285"/>
      <w:bookmarkEnd w:id="37"/>
      <w:r w:rsidR="008C3F96" w:rsidRPr="009D3E34">
        <w:t xml:space="preserve">Given “collective action is used by various coalitions to gain power ‘over’ organizations” (Fleming &amp; Spicer, 2014:283), the paper </w:t>
      </w:r>
      <w:r w:rsidR="00EE5D66" w:rsidRPr="009D3E34">
        <w:t>extends prior standard-setting literature to depict</w:t>
      </w:r>
      <w:r w:rsidR="008C3F96" w:rsidRPr="009D3E34">
        <w:t xml:space="preserve"> how power is exercised in collaborative initiatives.</w:t>
      </w:r>
    </w:p>
    <w:p w14:paraId="5B040DAF" w14:textId="1C9FFD6C" w:rsidR="00EE5D66" w:rsidRPr="009D3E34" w:rsidRDefault="00016F90" w:rsidP="0024667E">
      <w:pPr>
        <w:pStyle w:val="nikoneindenttext15"/>
      </w:pPr>
      <w:bookmarkStart w:id="39" w:name="_Hlk99037924"/>
      <w:r w:rsidRPr="009D3E34">
        <w:t>Fleming &amp; Spicer (2014:282-283) note “how collective agents establish power through founding specialist bodies that represent their interests”</w:t>
      </w:r>
      <w:r w:rsidR="00EE5D66" w:rsidRPr="009D3E34">
        <w:t>.</w:t>
      </w:r>
      <w:bookmarkEnd w:id="39"/>
      <w:r w:rsidR="00EE5D66" w:rsidRPr="009D3E34">
        <w:t xml:space="preserve"> The paper therefore </w:t>
      </w:r>
      <w:bookmarkStart w:id="40" w:name="_Hlk99038155"/>
      <w:r w:rsidR="00EE5D66" w:rsidRPr="009D3E34">
        <w:t xml:space="preserve">uses </w:t>
      </w:r>
      <w:proofErr w:type="spellStart"/>
      <w:r w:rsidR="00EE5D66" w:rsidRPr="009D3E34">
        <w:t>Lukes</w:t>
      </w:r>
      <w:proofErr w:type="spellEnd"/>
      <w:r w:rsidR="00EE5D66" w:rsidRPr="009D3E34">
        <w:t xml:space="preserve">’ (2005) </w:t>
      </w:r>
      <w:r w:rsidR="00EE5D66" w:rsidRPr="009D3E34">
        <w:lastRenderedPageBreak/>
        <w:t>conception</w:t>
      </w:r>
      <w:r w:rsidR="00045974" w:rsidRPr="009D3E34">
        <w:t>s</w:t>
      </w:r>
      <w:r w:rsidR="00EE5D66" w:rsidRPr="009D3E34">
        <w:t xml:space="preserve"> of power to encapsulate how orchestrators </w:t>
      </w:r>
      <w:r w:rsidR="002F406E" w:rsidRPr="009D3E34">
        <w:t>covertly</w:t>
      </w:r>
      <w:r w:rsidR="00EE5D66" w:rsidRPr="009D3E34">
        <w:t xml:space="preserve"> influence the debate over how sustainability reporting standardisation might develop. Orchestrators can </w:t>
      </w:r>
      <w:r w:rsidR="00B01AC2" w:rsidRPr="009D3E34">
        <w:t xml:space="preserve">subtly </w:t>
      </w:r>
      <w:r w:rsidR="00EE5D66" w:rsidRPr="009D3E34">
        <w:t xml:space="preserve">influence who is at the table, what is on the agenda and what activity is undertaken. In doing so, other perspectives may be marginalised. The contribution of staff that are detached or seconded to collaborative initiatives by orchestrators and different standardisers offers another means to influence activity. The choices </w:t>
      </w:r>
      <w:proofErr w:type="gramStart"/>
      <w:r w:rsidR="00EE5D66" w:rsidRPr="009D3E34">
        <w:t>of:</w:t>
      </w:r>
      <w:proofErr w:type="gramEnd"/>
      <w:r w:rsidR="00EE5D66" w:rsidRPr="009D3E34">
        <w:t xml:space="preserve"> who participates in the Corporate Reporting Dialogue and who does</w:t>
      </w:r>
      <w:r w:rsidR="007D280C" w:rsidRPr="009D3E34">
        <w:t xml:space="preserve"> </w:t>
      </w:r>
      <w:r w:rsidR="00EE5D66" w:rsidRPr="009D3E34">
        <w:t>n</w:t>
      </w:r>
      <w:r w:rsidR="007D280C" w:rsidRPr="009D3E34">
        <w:t>o</w:t>
      </w:r>
      <w:r w:rsidR="00EE5D66" w:rsidRPr="009D3E34">
        <w:t>t; who sets the agenda; who defines the boundaries of discussion; who writes and controls final outputs; and who funds the different initiatives reflect underlying power relations</w:t>
      </w:r>
      <w:bookmarkEnd w:id="40"/>
      <w:r w:rsidR="00EE5D66" w:rsidRPr="009D3E34">
        <w:t xml:space="preserve">. </w:t>
      </w:r>
      <w:r w:rsidR="004A115D" w:rsidRPr="009D3E34">
        <w:t xml:space="preserve">Here, the analysis demonstrates the covert power of orchestration as orchestrators catalyse the formation of new initiatives to pursue their goals (Abbott et al., 2015; Gross &amp; </w:t>
      </w:r>
      <w:proofErr w:type="spellStart"/>
      <w:r w:rsidR="004A115D" w:rsidRPr="009D3E34">
        <w:t>Zilber</w:t>
      </w:r>
      <w:proofErr w:type="spellEnd"/>
      <w:r w:rsidR="004A115D" w:rsidRPr="009D3E34">
        <w:t>, 2020).</w:t>
      </w:r>
    </w:p>
    <w:p w14:paraId="797D9FF6" w14:textId="19BB29BB" w:rsidR="009815E9" w:rsidRPr="009D3E34" w:rsidRDefault="009815E9" w:rsidP="0024667E">
      <w:pPr>
        <w:pStyle w:val="nikoneindenttext15"/>
      </w:pPr>
      <w:bookmarkStart w:id="41" w:name="_Hlk99038191"/>
      <w:bookmarkEnd w:id="38"/>
      <w:r w:rsidRPr="009D3E34">
        <w:t xml:space="preserve">Prior literature notes how covert power often relies on the use of mediating bodies that can heighten the appearance of democratic deliberation and attain what cannot be legitimately achieved through direct force (Fleming &amp; Spicer, 2014). The paper extends this line of enquiry by </w:t>
      </w:r>
      <w:r w:rsidR="00035FAA" w:rsidRPr="009D3E34">
        <w:t>considering</w:t>
      </w:r>
      <w:r w:rsidRPr="009D3E34">
        <w:t xml:space="preserve"> </w:t>
      </w:r>
      <w:r w:rsidR="00035FAA" w:rsidRPr="009D3E34">
        <w:t xml:space="preserve">how collaborative standardising initiatives </w:t>
      </w:r>
      <w:r w:rsidR="005F34DC" w:rsidRPr="009D3E34">
        <w:t>are</w:t>
      </w:r>
      <w:r w:rsidR="00035FAA" w:rsidRPr="009D3E34">
        <w:t xml:space="preserve"> used to </w:t>
      </w:r>
      <w:r w:rsidR="00631627" w:rsidRPr="009D3E34">
        <w:t>depict</w:t>
      </w:r>
      <w:r w:rsidR="00035FAA" w:rsidRPr="009D3E34">
        <w:t xml:space="preserve"> a sheen of </w:t>
      </w:r>
      <w:r w:rsidR="00067212" w:rsidRPr="009D3E34">
        <w:t>consens</w:t>
      </w:r>
      <w:r w:rsidR="00953858" w:rsidRPr="009D3E34">
        <w:t>us</w:t>
      </w:r>
      <w:r w:rsidR="00067212" w:rsidRPr="009D3E34">
        <w:t xml:space="preserve"> </w:t>
      </w:r>
      <w:r w:rsidR="00035FAA" w:rsidRPr="009D3E34">
        <w:t xml:space="preserve">that downplays the political nature of sustainability reporting standardisation by </w:t>
      </w:r>
      <w:r w:rsidR="00631627" w:rsidRPr="009D3E34">
        <w:t>offering</w:t>
      </w:r>
      <w:r w:rsidR="00035FAA" w:rsidRPr="009D3E34">
        <w:t xml:space="preserve"> a ‘semblance of neutrality’ (Fleming &amp; Spicer, 2014).</w:t>
      </w:r>
    </w:p>
    <w:p w14:paraId="5858D8B4" w14:textId="353ED08E" w:rsidR="0047274C" w:rsidRPr="009D3E34" w:rsidRDefault="004C2D63" w:rsidP="0024667E">
      <w:pPr>
        <w:pStyle w:val="nikoneindenttext15"/>
      </w:pPr>
      <w:bookmarkStart w:id="42" w:name="_Hlk99038222"/>
      <w:bookmarkEnd w:id="41"/>
      <w:r w:rsidRPr="009D3E34">
        <w:t xml:space="preserve">Whilst the membership choices and funding of activity are </w:t>
      </w:r>
      <w:r w:rsidR="00E83F50" w:rsidRPr="009D3E34">
        <w:t>somewhat</w:t>
      </w:r>
      <w:r w:rsidRPr="009D3E34">
        <w:t xml:space="preserve"> obscured from the </w:t>
      </w:r>
      <w:r w:rsidR="00BD6A46" w:rsidRPr="009D3E34">
        <w:t>public gaze</w:t>
      </w:r>
      <w:r w:rsidRPr="009D3E34">
        <w:t xml:space="preserve">, </w:t>
      </w:r>
      <w:r w:rsidR="002F406E" w:rsidRPr="009D3E34">
        <w:t>t</w:t>
      </w:r>
      <w:r w:rsidRPr="009D3E34">
        <w:t xml:space="preserve">he Corporate Reporting Dialogue </w:t>
      </w:r>
      <w:r w:rsidR="00BD6A46" w:rsidRPr="009D3E34">
        <w:t>offer</w:t>
      </w:r>
      <w:r w:rsidRPr="009D3E34">
        <w:t>ed</w:t>
      </w:r>
      <w:r w:rsidR="00BD6A46" w:rsidRPr="009D3E34">
        <w:t xml:space="preserve"> the external world a product of multiple, selected standardisers who discussed matters in an ‘open utopian, </w:t>
      </w:r>
      <w:proofErr w:type="spellStart"/>
      <w:r w:rsidR="00BD6A46" w:rsidRPr="009D3E34">
        <w:t>Habermasian</w:t>
      </w:r>
      <w:proofErr w:type="spellEnd"/>
      <w:r w:rsidR="00BD6A46" w:rsidRPr="009D3E34">
        <w:t xml:space="preserve">’ </w:t>
      </w:r>
      <w:r w:rsidR="005F34DC" w:rsidRPr="009D3E34">
        <w:t>environment</w:t>
      </w:r>
      <w:r w:rsidR="00BD6A46" w:rsidRPr="009D3E34">
        <w:t xml:space="preserve"> (Brown, 2009; </w:t>
      </w:r>
      <w:proofErr w:type="spellStart"/>
      <w:r w:rsidR="00BD6A46" w:rsidRPr="009D3E34">
        <w:t>Backstrand</w:t>
      </w:r>
      <w:proofErr w:type="spellEnd"/>
      <w:r w:rsidR="00BD6A46" w:rsidRPr="009D3E34">
        <w:t xml:space="preserve"> &amp; Kuyper, 2017; Morrison et al., 2019).</w:t>
      </w:r>
      <w:r w:rsidR="004A115D" w:rsidRPr="009D3E34">
        <w:t xml:space="preserve"> </w:t>
      </w:r>
      <w:r w:rsidR="00552AE6" w:rsidRPr="009D3E34">
        <w:t xml:space="preserve">The Corporate Reporting Dialogue offered the rhetoric and rituals of consensus building </w:t>
      </w:r>
      <w:r w:rsidR="0047274C" w:rsidRPr="009D3E34">
        <w:t>and, to the external eye, a high degree of conformism</w:t>
      </w:r>
      <w:bookmarkEnd w:id="42"/>
      <w:r w:rsidR="0047274C" w:rsidRPr="009D3E34">
        <w:t>.</w:t>
      </w:r>
    </w:p>
    <w:p w14:paraId="1CBD8CD7" w14:textId="0E8A4693" w:rsidR="0002691C" w:rsidRPr="009D3E34" w:rsidRDefault="00332091" w:rsidP="0024667E">
      <w:pPr>
        <w:pStyle w:val="nikoneindenttext15"/>
      </w:pPr>
      <w:bookmarkStart w:id="43" w:name="_Hlk99038262"/>
      <w:r w:rsidRPr="009D3E34">
        <w:t xml:space="preserve">Rather than viewing standardisation as a simple pursuit of conquest between individual standardisers, the paper considers how collaboration </w:t>
      </w:r>
      <w:r w:rsidR="005F71CE" w:rsidRPr="009D3E34">
        <w:t xml:space="preserve">provides </w:t>
      </w:r>
      <w:r w:rsidR="00067212" w:rsidRPr="009D3E34">
        <w:t xml:space="preserve">the opportunity for </w:t>
      </w:r>
      <w:r w:rsidRPr="009D3E34">
        <w:t xml:space="preserve">assimilation. </w:t>
      </w:r>
      <w:r w:rsidR="004A115D" w:rsidRPr="009D3E34">
        <w:t xml:space="preserve">The joint </w:t>
      </w:r>
      <w:r w:rsidR="00552AE6" w:rsidRPr="009D3E34">
        <w:t xml:space="preserve">consensual </w:t>
      </w:r>
      <w:r w:rsidR="004A115D" w:rsidRPr="009D3E34">
        <w:t>solution subsequently presented by the Group of 5</w:t>
      </w:r>
      <w:r w:rsidR="00E83F50" w:rsidRPr="009D3E34">
        <w:t xml:space="preserve"> </w:t>
      </w:r>
      <w:r w:rsidR="002F406E" w:rsidRPr="009D3E34">
        <w:t xml:space="preserve">obscures </w:t>
      </w:r>
      <w:r w:rsidR="005F34DC" w:rsidRPr="009D3E34">
        <w:t>the compromise</w:t>
      </w:r>
      <w:r w:rsidR="00FE370B" w:rsidRPr="009D3E34">
        <w:t>s</w:t>
      </w:r>
      <w:r w:rsidR="005F34DC" w:rsidRPr="009D3E34">
        <w:t xml:space="preserve"> </w:t>
      </w:r>
      <w:r w:rsidR="00FE370B" w:rsidRPr="009D3E34">
        <w:t>made</w:t>
      </w:r>
      <w:r w:rsidR="005F34DC" w:rsidRPr="009D3E34">
        <w:t>.</w:t>
      </w:r>
      <w:r w:rsidR="002F406E" w:rsidRPr="009D3E34">
        <w:t xml:space="preserve"> As </w:t>
      </w:r>
      <w:r w:rsidR="005F34DC" w:rsidRPr="009D3E34">
        <w:t xml:space="preserve">Brown &amp; Tregidga (2017) </w:t>
      </w:r>
      <w:r w:rsidR="002F406E" w:rsidRPr="009D3E34">
        <w:t xml:space="preserve">note, </w:t>
      </w:r>
      <w:r w:rsidR="005F34DC" w:rsidRPr="009D3E34">
        <w:t xml:space="preserve">consensus-based approaches </w:t>
      </w:r>
      <w:r w:rsidR="00222A05" w:rsidRPr="009D3E34">
        <w:t xml:space="preserve">tend to downplay </w:t>
      </w:r>
      <w:r w:rsidR="005F34DC" w:rsidRPr="009D3E34">
        <w:t>dissent given everyone is included in consensus building</w:t>
      </w:r>
      <w:r w:rsidR="00631627" w:rsidRPr="009D3E34">
        <w:t xml:space="preserve">. Standardisers prioritising a different vision of sustainability reporting, such as the GRI, </w:t>
      </w:r>
      <w:r w:rsidR="00FE370B" w:rsidRPr="009D3E34">
        <w:t>risk being margi</w:t>
      </w:r>
      <w:r w:rsidR="005F34DC" w:rsidRPr="009D3E34">
        <w:t>nalised</w:t>
      </w:r>
      <w:r w:rsidR="00631627" w:rsidRPr="009D3E34">
        <w:t xml:space="preserve"> if they fail to participate</w:t>
      </w:r>
      <w:r w:rsidR="005F34DC" w:rsidRPr="009D3E34">
        <w:t>.</w:t>
      </w:r>
      <w:r w:rsidR="00FE370B" w:rsidRPr="009D3E34">
        <w:t xml:space="preserve"> </w:t>
      </w:r>
      <w:r w:rsidR="00222A05" w:rsidRPr="009D3E34">
        <w:t>As a result, c</w:t>
      </w:r>
      <w:r w:rsidR="005F34DC" w:rsidRPr="009D3E34">
        <w:t xml:space="preserve">onsensus-building is conveyed as a product of democratic dialogue and free from power relations. By contrast, </w:t>
      </w:r>
      <w:r w:rsidR="00C43B9C" w:rsidRPr="009D3E34">
        <w:t>confrontational strategies appea</w:t>
      </w:r>
      <w:r w:rsidR="00D95394" w:rsidRPr="009D3E34">
        <w:t>r</w:t>
      </w:r>
      <w:r w:rsidR="00C43B9C" w:rsidRPr="009D3E34">
        <w:t xml:space="preserve"> illegitimate (</w:t>
      </w:r>
      <w:proofErr w:type="spellStart"/>
      <w:r w:rsidR="00C43B9C" w:rsidRPr="009D3E34">
        <w:t>Farjauden</w:t>
      </w:r>
      <w:proofErr w:type="spellEnd"/>
      <w:r w:rsidR="00C43B9C" w:rsidRPr="009D3E34">
        <w:t xml:space="preserve"> &amp; Morales, 2013)</w:t>
      </w:r>
      <w:r w:rsidR="00E83F50" w:rsidRPr="009D3E34">
        <w:t xml:space="preserve">. </w:t>
      </w:r>
      <w:r w:rsidR="0002691C" w:rsidRPr="009D3E34">
        <w:t>Whilst Brown &amp; Tregidga (2017) observe how s</w:t>
      </w:r>
      <w:r w:rsidR="00C43B9C" w:rsidRPr="009D3E34">
        <w:t>takeholder inclusion aim</w:t>
      </w:r>
      <w:r w:rsidR="0002691C" w:rsidRPr="009D3E34">
        <w:t>s to</w:t>
      </w:r>
      <w:r w:rsidR="00C43B9C" w:rsidRPr="009D3E34">
        <w:t xml:space="preserve"> </w:t>
      </w:r>
      <w:r w:rsidR="00C43B9C" w:rsidRPr="009D3E34">
        <w:lastRenderedPageBreak/>
        <w:t>subsum</w:t>
      </w:r>
      <w:r w:rsidR="00631627" w:rsidRPr="009D3E34">
        <w:t>e</w:t>
      </w:r>
      <w:r w:rsidR="00C43B9C" w:rsidRPr="009D3E34">
        <w:t xml:space="preserve"> more groups </w:t>
      </w:r>
      <w:r w:rsidR="00C26BCD" w:rsidRPr="009D3E34">
        <w:t>to legitimate</w:t>
      </w:r>
      <w:r w:rsidR="00C43B9C" w:rsidRPr="009D3E34">
        <w:t xml:space="preserve"> </w:t>
      </w:r>
      <w:r w:rsidR="002F406E" w:rsidRPr="009D3E34">
        <w:t>an</w:t>
      </w:r>
      <w:r w:rsidR="00C43B9C" w:rsidRPr="009D3E34">
        <w:t xml:space="preserve"> established consensus</w:t>
      </w:r>
      <w:r w:rsidR="0002691C" w:rsidRPr="009D3E34">
        <w:t>, the analysis suggests collaborative initiatives operate in a similar fashion.</w:t>
      </w:r>
    </w:p>
    <w:bookmarkEnd w:id="43"/>
    <w:p w14:paraId="188A7E22" w14:textId="3714DFFD" w:rsidR="00BD6A46" w:rsidRPr="009D3E34" w:rsidRDefault="00797252" w:rsidP="008222EE">
      <w:pPr>
        <w:pStyle w:val="nikoneindenttext15"/>
      </w:pPr>
      <w:r w:rsidRPr="009D3E34">
        <w:t xml:space="preserve">The constructed consensus is aided </w:t>
      </w:r>
      <w:proofErr w:type="gramStart"/>
      <w:r w:rsidRPr="009D3E34">
        <w:t>by the use of</w:t>
      </w:r>
      <w:proofErr w:type="gramEnd"/>
      <w:r w:rsidRPr="009D3E34">
        <w:t xml:space="preserve"> common language (‘sustainability’) that can mask fundamental differences in meaning and application. Continued forms of reporting that focus on the sustainability of the corporation to create returns for its financial investors and depart less radically from the established mode of corporate reporting will not necessarily inform society about the sustainability of the planet and the ability of its ecosystems to sustain life in the future.</w:t>
      </w:r>
      <w:r w:rsidR="00045974" w:rsidRPr="009D3E34">
        <w:t xml:space="preserve"> </w:t>
      </w:r>
      <w:r w:rsidR="00BD6A46" w:rsidRPr="009D3E34">
        <w:t xml:space="preserve">The paper demonstrates the continued efforts to </w:t>
      </w:r>
      <w:r w:rsidR="009B4997" w:rsidRPr="009D3E34">
        <w:t>maintain</w:t>
      </w:r>
      <w:r w:rsidR="00BD6A46" w:rsidRPr="009D3E34">
        <w:t xml:space="preserve"> a vision of </w:t>
      </w:r>
      <w:r w:rsidR="00045974" w:rsidRPr="009D3E34">
        <w:t>‘</w:t>
      </w:r>
      <w:r w:rsidR="00BD6A46" w:rsidRPr="009D3E34">
        <w:t>sustainability</w:t>
      </w:r>
      <w:r w:rsidR="00045974" w:rsidRPr="009D3E34">
        <w:t>’</w:t>
      </w:r>
      <w:r w:rsidR="00BD6A46" w:rsidRPr="009D3E34">
        <w:t xml:space="preserve"> that relies on the capital markets and ‘rational’ allocational efficiency to address climate, </w:t>
      </w:r>
      <w:r w:rsidR="00552AE6" w:rsidRPr="009D3E34">
        <w:t>ecological</w:t>
      </w:r>
      <w:r w:rsidR="00BD6A46" w:rsidRPr="009D3E34">
        <w:t xml:space="preserve"> and societal crises, as opposed to a vision of reporting seeking to measure all corporate impacts as a means to inform public </w:t>
      </w:r>
      <w:proofErr w:type="gramStart"/>
      <w:r w:rsidR="00BD6A46" w:rsidRPr="009D3E34">
        <w:t>policy</w:t>
      </w:r>
      <w:r w:rsidR="00D831AE" w:rsidRPr="009D3E34">
        <w:t>-</w:t>
      </w:r>
      <w:r w:rsidR="00BD6A46" w:rsidRPr="009D3E34">
        <w:t>making</w:t>
      </w:r>
      <w:proofErr w:type="gramEnd"/>
      <w:r w:rsidR="00BD6A46" w:rsidRPr="009D3E34">
        <w:t xml:space="preserve">. </w:t>
      </w:r>
      <w:bookmarkEnd w:id="34"/>
      <w:bookmarkEnd w:id="24"/>
    </w:p>
    <w:p w14:paraId="2E58FDF3" w14:textId="77777777" w:rsidR="008222EE" w:rsidRPr="009D3E34" w:rsidRDefault="008222EE" w:rsidP="008222EE">
      <w:pPr>
        <w:pStyle w:val="nikoneindenttext15"/>
      </w:pPr>
    </w:p>
    <w:p w14:paraId="407D879B" w14:textId="01960218" w:rsidR="004A19AB" w:rsidRPr="009D3E34" w:rsidRDefault="00A77366" w:rsidP="0024667E">
      <w:pPr>
        <w:pStyle w:val="nikoneindenttext15"/>
      </w:pPr>
      <w:r w:rsidRPr="009D3E34">
        <w:t xml:space="preserve">In </w:t>
      </w:r>
      <w:r w:rsidR="005B6F3C" w:rsidRPr="009D3E34">
        <w:t xml:space="preserve">closing the paper, it is important to acknowledge the limitations of the analysis and the conclusions which are drawn. Set within an interpretive paradigm, the analysis relies on the </w:t>
      </w:r>
      <w:r w:rsidRPr="009D3E34">
        <w:t xml:space="preserve">coding and interpretation of the dataset </w:t>
      </w:r>
      <w:r w:rsidR="00CA4832" w:rsidRPr="009D3E34">
        <w:t xml:space="preserve">that </w:t>
      </w:r>
      <w:r w:rsidR="005041E0" w:rsidRPr="009D3E34">
        <w:t xml:space="preserve">draws heavily on the views, </w:t>
      </w:r>
      <w:proofErr w:type="gramStart"/>
      <w:r w:rsidR="005041E0" w:rsidRPr="009D3E34">
        <w:t>experiences</w:t>
      </w:r>
      <w:proofErr w:type="gramEnd"/>
      <w:r w:rsidR="005041E0" w:rsidRPr="009D3E34">
        <w:t xml:space="preserve"> and perceptions of central actors, and is focused on the activity taking place during the Corporate Reporting Dialogue. </w:t>
      </w:r>
      <w:bookmarkStart w:id="44" w:name="_Hlk110600055"/>
      <w:r w:rsidR="00CA12CF" w:rsidRPr="009D3E34">
        <w:t xml:space="preserve">This leaves room for research exploring views of sustainability reporting standardisation from those outside </w:t>
      </w:r>
      <w:r w:rsidR="00DF3923" w:rsidRPr="009D3E34">
        <w:t>private standardisers</w:t>
      </w:r>
      <w:r w:rsidR="00D63DD7" w:rsidRPr="009D3E34">
        <w:t xml:space="preserve"> includ</w:t>
      </w:r>
      <w:r w:rsidR="00D55D45" w:rsidRPr="009D3E34">
        <w:t>ing</w:t>
      </w:r>
      <w:r w:rsidR="00D63DD7" w:rsidRPr="009D3E34">
        <w:t xml:space="preserve"> policymakers, civil society organisations and investors</w:t>
      </w:r>
      <w:r w:rsidR="00CA12CF" w:rsidRPr="009D3E34">
        <w:t xml:space="preserve">. </w:t>
      </w:r>
      <w:bookmarkEnd w:id="44"/>
      <w:r w:rsidR="005C36C4" w:rsidRPr="009D3E34">
        <w:t xml:space="preserve">Although the findings highlight the influence of philanthropic organisations on sustainability reporting, the paper leaves scope for further in-depth analysis </w:t>
      </w:r>
      <w:proofErr w:type="gramStart"/>
      <w:r w:rsidR="005C36C4" w:rsidRPr="009D3E34">
        <w:t>in order to</w:t>
      </w:r>
      <w:proofErr w:type="gramEnd"/>
      <w:r w:rsidR="005C36C4" w:rsidRPr="009D3E34">
        <w:t xml:space="preserve"> assess critiques of </w:t>
      </w:r>
      <w:proofErr w:type="spellStart"/>
      <w:r w:rsidR="005C36C4" w:rsidRPr="009D3E34">
        <w:t>philanthrocapitalism</w:t>
      </w:r>
      <w:proofErr w:type="spellEnd"/>
      <w:r w:rsidR="005C36C4" w:rsidRPr="009D3E34">
        <w:t xml:space="preserve">. </w:t>
      </w:r>
      <w:r w:rsidR="005041E0" w:rsidRPr="009D3E34">
        <w:t xml:space="preserve">Further studies are </w:t>
      </w:r>
      <w:r w:rsidR="005C36C4" w:rsidRPr="009D3E34">
        <w:t xml:space="preserve">also </w:t>
      </w:r>
      <w:r w:rsidR="005041E0" w:rsidRPr="009D3E34">
        <w:t>needed on the standardisation of corporate reporting given the initiatives that have gr</w:t>
      </w:r>
      <w:r w:rsidR="00CA4832" w:rsidRPr="009D3E34">
        <w:t>own</w:t>
      </w:r>
      <w:r w:rsidR="005041E0" w:rsidRPr="009D3E34">
        <w:t xml:space="preserve"> out of the Corporate Reporting Dialogue </w:t>
      </w:r>
      <w:proofErr w:type="gramStart"/>
      <w:r w:rsidR="005041E0" w:rsidRPr="009D3E34">
        <w:t>in order to</w:t>
      </w:r>
      <w:proofErr w:type="gramEnd"/>
      <w:r w:rsidR="005041E0" w:rsidRPr="009D3E34">
        <w:t xml:space="preserve"> understand how terms such as ‘sustainability</w:t>
      </w:r>
      <w:r w:rsidR="009D474D" w:rsidRPr="009D3E34">
        <w:t>’</w:t>
      </w:r>
      <w:r w:rsidR="005041E0" w:rsidRPr="009D3E34">
        <w:t xml:space="preserve">, ‘(enterprise) value creation’ and </w:t>
      </w:r>
      <w:r w:rsidR="00CA4832" w:rsidRPr="009D3E34">
        <w:t>‘</w:t>
      </w:r>
      <w:r w:rsidR="005041E0" w:rsidRPr="009D3E34">
        <w:t>materiality</w:t>
      </w:r>
      <w:r w:rsidR="00CA4832" w:rsidRPr="009D3E34">
        <w:t>’</w:t>
      </w:r>
      <w:r w:rsidR="005041E0" w:rsidRPr="009D3E34">
        <w:t xml:space="preserve"> are shaped to </w:t>
      </w:r>
      <w:r w:rsidR="00CA4832" w:rsidRPr="009D3E34">
        <w:t>offer different approaches to addressing socio-ecological development</w:t>
      </w:r>
      <w:r w:rsidR="006150EB" w:rsidRPr="009D3E34">
        <w:t xml:space="preserve">, and the developing relationship between the </w:t>
      </w:r>
      <w:r w:rsidR="005A474D" w:rsidRPr="009D3E34">
        <w:t xml:space="preserve">Global and International </w:t>
      </w:r>
      <w:r w:rsidR="006150EB" w:rsidRPr="009D3E34">
        <w:t>Sustainability Standards Boards</w:t>
      </w:r>
      <w:r w:rsidR="00CA4832" w:rsidRPr="009D3E34">
        <w:t xml:space="preserve">. </w:t>
      </w:r>
      <w:r w:rsidR="00DF3923" w:rsidRPr="009D3E34">
        <w:t xml:space="preserve">Finally, the </w:t>
      </w:r>
      <w:r w:rsidR="00CA4832" w:rsidRPr="009D3E34">
        <w:t xml:space="preserve">paper hopes to prompt </w:t>
      </w:r>
      <w:r w:rsidRPr="009D3E34">
        <w:t xml:space="preserve">further </w:t>
      </w:r>
      <w:r w:rsidR="009861D2" w:rsidRPr="009D3E34">
        <w:t>investigation</w:t>
      </w:r>
      <w:r w:rsidR="00CA4832" w:rsidRPr="009D3E34">
        <w:t xml:space="preserve"> </w:t>
      </w:r>
      <w:r w:rsidRPr="009D3E34">
        <w:t>into the role of orchestration</w:t>
      </w:r>
      <w:r w:rsidR="005C36C4" w:rsidRPr="009D3E34">
        <w:t xml:space="preserve"> and</w:t>
      </w:r>
      <w:r w:rsidR="00CA4832" w:rsidRPr="009D3E34">
        <w:t xml:space="preserve"> power</w:t>
      </w:r>
      <w:r w:rsidRPr="009D3E34">
        <w:t xml:space="preserve"> within corporate reporting</w:t>
      </w:r>
      <w:r w:rsidR="00CF7A49" w:rsidRPr="009D3E34">
        <w:t xml:space="preserve">, and </w:t>
      </w:r>
      <w:proofErr w:type="gramStart"/>
      <w:r w:rsidR="00CF7A49" w:rsidRPr="009D3E34">
        <w:t>the means by which</w:t>
      </w:r>
      <w:proofErr w:type="gramEnd"/>
      <w:r w:rsidR="00CF7A49" w:rsidRPr="009D3E34">
        <w:t xml:space="preserve"> extensions of corporate accountability are debated and enacted</w:t>
      </w:r>
      <w:r w:rsidRPr="009D3E34">
        <w:t>.</w:t>
      </w:r>
    </w:p>
    <w:p w14:paraId="0952E132" w14:textId="4B95E832" w:rsidR="0024667E" w:rsidRPr="009D3E34" w:rsidRDefault="0024667E" w:rsidP="0024667E">
      <w:pPr>
        <w:pStyle w:val="nikoneindenttext15"/>
      </w:pPr>
    </w:p>
    <w:p w14:paraId="50F9A65F" w14:textId="3DFBAA08" w:rsidR="0024667E" w:rsidRPr="009D3E34" w:rsidRDefault="0024667E" w:rsidP="0024667E">
      <w:pPr>
        <w:pStyle w:val="Heading1"/>
      </w:pPr>
      <w:r w:rsidRPr="009D3E34">
        <w:t>References</w:t>
      </w:r>
    </w:p>
    <w:tbl>
      <w:tblPr>
        <w:tblStyle w:val="TableGrid"/>
        <w:tblW w:w="9351" w:type="dxa"/>
        <w:tblLook w:val="04A0" w:firstRow="1" w:lastRow="0" w:firstColumn="1" w:lastColumn="0" w:noHBand="0" w:noVBand="1"/>
      </w:tblPr>
      <w:tblGrid>
        <w:gridCol w:w="9351"/>
      </w:tblGrid>
      <w:tr w:rsidR="00E25DD6" w:rsidRPr="00E25DD6" w14:paraId="10D4706B" w14:textId="77777777" w:rsidTr="00E25DD6">
        <w:trPr>
          <w:trHeight w:val="225"/>
        </w:trPr>
        <w:tc>
          <w:tcPr>
            <w:tcW w:w="9351" w:type="dxa"/>
            <w:noWrap/>
            <w:hideMark/>
          </w:tcPr>
          <w:p w14:paraId="431ED4BF" w14:textId="77777777" w:rsidR="00E25DD6" w:rsidRPr="00E25DD6" w:rsidRDefault="00E25DD6" w:rsidP="0024667E">
            <w:pPr>
              <w:pStyle w:val="niktext15"/>
              <w:rPr>
                <w:sz w:val="20"/>
              </w:rPr>
            </w:pPr>
            <w:r w:rsidRPr="00E25DD6">
              <w:rPr>
                <w:sz w:val="20"/>
              </w:rPr>
              <w:t>Abbott, K.W. &amp; Bernstein, S. (2015). The High-Level Political Forum on Sustainable Development: orchestration by default and design, Global Policy, 6/3, 222-233.</w:t>
            </w:r>
          </w:p>
        </w:tc>
      </w:tr>
      <w:tr w:rsidR="00E25DD6" w:rsidRPr="00E25DD6" w14:paraId="66FD6B0F" w14:textId="77777777" w:rsidTr="00E25DD6">
        <w:trPr>
          <w:trHeight w:val="225"/>
        </w:trPr>
        <w:tc>
          <w:tcPr>
            <w:tcW w:w="9351" w:type="dxa"/>
            <w:noWrap/>
            <w:hideMark/>
          </w:tcPr>
          <w:p w14:paraId="545BF61C" w14:textId="77777777" w:rsidR="00E25DD6" w:rsidRPr="00E25DD6" w:rsidRDefault="00E25DD6" w:rsidP="0024667E">
            <w:pPr>
              <w:pStyle w:val="niktext15"/>
              <w:rPr>
                <w:sz w:val="20"/>
              </w:rPr>
            </w:pPr>
            <w:r w:rsidRPr="00E25DD6">
              <w:rPr>
                <w:sz w:val="20"/>
              </w:rPr>
              <w:lastRenderedPageBreak/>
              <w:t>Abbott, K.W. (2017). Orchestrating experimentation in non-State environmental commitments, Environmental Politics, 26/4, 738-763.</w:t>
            </w:r>
          </w:p>
        </w:tc>
      </w:tr>
      <w:tr w:rsidR="00E25DD6" w:rsidRPr="00E25DD6" w14:paraId="7254E4E0" w14:textId="77777777" w:rsidTr="00E25DD6">
        <w:trPr>
          <w:trHeight w:val="225"/>
        </w:trPr>
        <w:tc>
          <w:tcPr>
            <w:tcW w:w="9351" w:type="dxa"/>
            <w:noWrap/>
          </w:tcPr>
          <w:p w14:paraId="09A3F75A" w14:textId="55654277" w:rsidR="00E25DD6" w:rsidRPr="00E25DD6" w:rsidRDefault="00E25DD6" w:rsidP="0024667E">
            <w:pPr>
              <w:pStyle w:val="niktext15"/>
              <w:rPr>
                <w:sz w:val="20"/>
              </w:rPr>
            </w:pPr>
            <w:r w:rsidRPr="00E25DD6">
              <w:rPr>
                <w:sz w:val="20"/>
              </w:rPr>
              <w:t>Abbott, K.W. (2018). Orchestration: strategic ordering in polycentric governance. In A. Jordan, D. Huitema, H. van Asselt, &amp; J. Forster (Eds.). Governing climate change: polycentricity in action (pp188-209). Cambridge, Cambridge University Press.</w:t>
            </w:r>
          </w:p>
        </w:tc>
      </w:tr>
      <w:tr w:rsidR="00E25DD6" w:rsidRPr="00E25DD6" w14:paraId="06980880" w14:textId="77777777" w:rsidTr="00E25DD6">
        <w:trPr>
          <w:trHeight w:val="225"/>
        </w:trPr>
        <w:tc>
          <w:tcPr>
            <w:tcW w:w="9351" w:type="dxa"/>
            <w:noWrap/>
            <w:hideMark/>
          </w:tcPr>
          <w:p w14:paraId="7927CAB2" w14:textId="77777777" w:rsidR="00E25DD6" w:rsidRPr="00E25DD6" w:rsidRDefault="00E25DD6" w:rsidP="0024667E">
            <w:pPr>
              <w:pStyle w:val="niktext15"/>
              <w:rPr>
                <w:sz w:val="20"/>
              </w:rPr>
            </w:pPr>
            <w:r w:rsidRPr="00E25DD6">
              <w:rPr>
                <w:sz w:val="20"/>
              </w:rPr>
              <w:t xml:space="preserve">Abbott, K.W., </w:t>
            </w:r>
            <w:proofErr w:type="spellStart"/>
            <w:r w:rsidRPr="00E25DD6">
              <w:rPr>
                <w:sz w:val="20"/>
              </w:rPr>
              <w:t>Genschel</w:t>
            </w:r>
            <w:proofErr w:type="spellEnd"/>
            <w:r w:rsidRPr="00E25DD6">
              <w:rPr>
                <w:sz w:val="20"/>
              </w:rPr>
              <w:t xml:space="preserve">, P., Snidal, D. &amp; </w:t>
            </w:r>
            <w:proofErr w:type="spellStart"/>
            <w:r w:rsidRPr="00E25DD6">
              <w:rPr>
                <w:sz w:val="20"/>
              </w:rPr>
              <w:t>Zangl</w:t>
            </w:r>
            <w:proofErr w:type="spellEnd"/>
            <w:r w:rsidRPr="00E25DD6">
              <w:rPr>
                <w:sz w:val="20"/>
              </w:rPr>
              <w:t xml:space="preserve">, B. (2015). Orchestration: global governance through intermediaries. In Abbott, K.W., </w:t>
            </w:r>
            <w:proofErr w:type="spellStart"/>
            <w:r w:rsidRPr="00E25DD6">
              <w:rPr>
                <w:sz w:val="20"/>
              </w:rPr>
              <w:t>Genschel</w:t>
            </w:r>
            <w:proofErr w:type="spellEnd"/>
            <w:r w:rsidRPr="00E25DD6">
              <w:rPr>
                <w:sz w:val="20"/>
              </w:rPr>
              <w:t xml:space="preserve">, P., Snidal, D. &amp; </w:t>
            </w:r>
            <w:proofErr w:type="spellStart"/>
            <w:r w:rsidRPr="00E25DD6">
              <w:rPr>
                <w:sz w:val="20"/>
              </w:rPr>
              <w:t>Zangl</w:t>
            </w:r>
            <w:proofErr w:type="spellEnd"/>
            <w:r w:rsidRPr="00E25DD6">
              <w:rPr>
                <w:sz w:val="20"/>
              </w:rPr>
              <w:t>, B. (Ed.), International Organizations as Orchestrators (pp3-36). Cambridge: CUP.</w:t>
            </w:r>
          </w:p>
        </w:tc>
      </w:tr>
      <w:tr w:rsidR="00E25DD6" w:rsidRPr="00E25DD6" w14:paraId="2FF3287C" w14:textId="77777777" w:rsidTr="00E25DD6">
        <w:trPr>
          <w:trHeight w:val="225"/>
        </w:trPr>
        <w:tc>
          <w:tcPr>
            <w:tcW w:w="9351" w:type="dxa"/>
            <w:noWrap/>
            <w:hideMark/>
          </w:tcPr>
          <w:p w14:paraId="1678B637" w14:textId="77777777" w:rsidR="00E25DD6" w:rsidRPr="00E25DD6" w:rsidRDefault="00E25DD6" w:rsidP="0024667E">
            <w:pPr>
              <w:pStyle w:val="niktext15"/>
              <w:rPr>
                <w:sz w:val="20"/>
              </w:rPr>
            </w:pPr>
            <w:r w:rsidRPr="00E25DD6">
              <w:rPr>
                <w:sz w:val="20"/>
              </w:rPr>
              <w:t>Accountancy Europe (2017). Enhance the Coordination of Non-financial Information Initiatives and Frameworks. Brussels, Accountancy Europe.</w:t>
            </w:r>
          </w:p>
        </w:tc>
      </w:tr>
      <w:tr w:rsidR="00E25DD6" w:rsidRPr="00E25DD6" w14:paraId="30FF949C" w14:textId="77777777" w:rsidTr="00E25DD6">
        <w:trPr>
          <w:trHeight w:val="255"/>
        </w:trPr>
        <w:tc>
          <w:tcPr>
            <w:tcW w:w="9351" w:type="dxa"/>
            <w:noWrap/>
            <w:hideMark/>
          </w:tcPr>
          <w:p w14:paraId="1F3E3839" w14:textId="77777777" w:rsidR="00E25DD6" w:rsidRPr="00E25DD6" w:rsidRDefault="00E25DD6" w:rsidP="0024667E">
            <w:pPr>
              <w:pStyle w:val="niktext15"/>
              <w:rPr>
                <w:sz w:val="20"/>
              </w:rPr>
            </w:pPr>
            <w:r w:rsidRPr="00E25DD6">
              <w:rPr>
                <w:sz w:val="20"/>
              </w:rPr>
              <w:t>Accountancy Europe (2019). Interconnected standard setting for corporate reporting. Brussels, Accountancy Europe.</w:t>
            </w:r>
          </w:p>
        </w:tc>
      </w:tr>
      <w:tr w:rsidR="00E25DD6" w:rsidRPr="00E25DD6" w14:paraId="24DC6286" w14:textId="77777777" w:rsidTr="00E25DD6">
        <w:trPr>
          <w:trHeight w:val="225"/>
        </w:trPr>
        <w:tc>
          <w:tcPr>
            <w:tcW w:w="9351" w:type="dxa"/>
          </w:tcPr>
          <w:p w14:paraId="76FEB7C1" w14:textId="0E073B9D" w:rsidR="00E25DD6" w:rsidRPr="00E25DD6" w:rsidRDefault="00E25DD6" w:rsidP="00D55896">
            <w:pPr>
              <w:pStyle w:val="niktext15"/>
              <w:rPr>
                <w:sz w:val="20"/>
              </w:rPr>
            </w:pPr>
            <w:r w:rsidRPr="00E25DD6">
              <w:rPr>
                <w:sz w:val="20"/>
              </w:rPr>
              <w:t>Accountancy Europe (2020). Interconnected standard setting for corporate reporting - feedback analysis. Brussels, Accountancy Europe.</w:t>
            </w:r>
          </w:p>
        </w:tc>
      </w:tr>
      <w:tr w:rsidR="00E25DD6" w:rsidRPr="00E25DD6" w14:paraId="6ECC897B" w14:textId="77777777" w:rsidTr="00E25DD6">
        <w:trPr>
          <w:trHeight w:val="225"/>
        </w:trPr>
        <w:tc>
          <w:tcPr>
            <w:tcW w:w="9351" w:type="dxa"/>
            <w:hideMark/>
          </w:tcPr>
          <w:p w14:paraId="7ED5E559" w14:textId="77777777" w:rsidR="00E25DD6" w:rsidRPr="00E25DD6" w:rsidRDefault="00E25DD6" w:rsidP="0024667E">
            <w:pPr>
              <w:pStyle w:val="niktext15"/>
              <w:rPr>
                <w:sz w:val="20"/>
              </w:rPr>
            </w:pPr>
            <w:r w:rsidRPr="00E25DD6">
              <w:rPr>
                <w:sz w:val="20"/>
              </w:rPr>
              <w:t>Accounting for Sustainability (2010). Governance and collaboration: establishing an "international integrated reporting committee". London, Accounting for Sustainability.</w:t>
            </w:r>
          </w:p>
        </w:tc>
      </w:tr>
      <w:tr w:rsidR="00E25DD6" w:rsidRPr="00E25DD6" w14:paraId="3003584F" w14:textId="77777777" w:rsidTr="00E25DD6">
        <w:trPr>
          <w:trHeight w:val="255"/>
        </w:trPr>
        <w:tc>
          <w:tcPr>
            <w:tcW w:w="9351" w:type="dxa"/>
            <w:noWrap/>
            <w:hideMark/>
          </w:tcPr>
          <w:p w14:paraId="53DBBD8B" w14:textId="7BA9F0D2" w:rsidR="00E25DD6" w:rsidRPr="00E25DD6" w:rsidRDefault="00E25DD6" w:rsidP="0024667E">
            <w:pPr>
              <w:pStyle w:val="niktext15"/>
              <w:rPr>
                <w:sz w:val="20"/>
              </w:rPr>
            </w:pPr>
            <w:r w:rsidRPr="00E25DD6">
              <w:rPr>
                <w:sz w:val="20"/>
              </w:rPr>
              <w:t xml:space="preserve">Adams, C.A. &amp; </w:t>
            </w:r>
            <w:proofErr w:type="spellStart"/>
            <w:r w:rsidRPr="00E25DD6">
              <w:rPr>
                <w:sz w:val="20"/>
              </w:rPr>
              <w:t>Abhayawansa</w:t>
            </w:r>
            <w:proofErr w:type="spellEnd"/>
            <w:r w:rsidRPr="00E25DD6">
              <w:rPr>
                <w:sz w:val="20"/>
              </w:rPr>
              <w:t>, S. (2021). Connecting the Covid-19 pandemic, environmental, social and governance (ESG) investing and calls for 'harmonisation' of sustainability reporting, Critical Perspectives on Accounting 82, 102309, 1-13.</w:t>
            </w:r>
          </w:p>
        </w:tc>
      </w:tr>
      <w:tr w:rsidR="00E25DD6" w:rsidRPr="00E25DD6" w14:paraId="7E49435C" w14:textId="77777777" w:rsidTr="00E25DD6">
        <w:trPr>
          <w:trHeight w:val="255"/>
        </w:trPr>
        <w:tc>
          <w:tcPr>
            <w:tcW w:w="9351" w:type="dxa"/>
            <w:noWrap/>
          </w:tcPr>
          <w:p w14:paraId="4B43ACCE" w14:textId="2439E96D" w:rsidR="00E25DD6" w:rsidRPr="00E25DD6" w:rsidRDefault="00E25DD6" w:rsidP="00B45A15">
            <w:pPr>
              <w:pStyle w:val="niktext15"/>
              <w:rPr>
                <w:sz w:val="20"/>
              </w:rPr>
            </w:pPr>
            <w:r w:rsidRPr="00E25DD6">
              <w:rPr>
                <w:sz w:val="20"/>
              </w:rPr>
              <w:t>Adams et al. (2020). Open letter regarding the IFRS Foundation's consultation paper on sustainability reporting. https://drcaroladams.net/open-letter-to-the-chair-of-the-ifrs-foundation-trustees-from-professors-of-accounting/</w:t>
            </w:r>
          </w:p>
        </w:tc>
      </w:tr>
      <w:tr w:rsidR="00E25DD6" w:rsidRPr="00E25DD6" w14:paraId="113B32EB" w14:textId="77777777" w:rsidTr="00E25DD6">
        <w:trPr>
          <w:trHeight w:val="255"/>
        </w:trPr>
        <w:tc>
          <w:tcPr>
            <w:tcW w:w="9351" w:type="dxa"/>
            <w:noWrap/>
            <w:hideMark/>
          </w:tcPr>
          <w:p w14:paraId="70ABFDF9" w14:textId="77777777" w:rsidR="00E25DD6" w:rsidRPr="00E25DD6" w:rsidRDefault="00E25DD6" w:rsidP="0024667E">
            <w:pPr>
              <w:pStyle w:val="niktext15"/>
              <w:rPr>
                <w:sz w:val="20"/>
              </w:rPr>
            </w:pPr>
            <w:proofErr w:type="spellStart"/>
            <w:r w:rsidRPr="00E25DD6">
              <w:rPr>
                <w:sz w:val="20"/>
              </w:rPr>
              <w:t>Ahrne</w:t>
            </w:r>
            <w:proofErr w:type="spellEnd"/>
            <w:r w:rsidRPr="00E25DD6">
              <w:rPr>
                <w:sz w:val="20"/>
              </w:rPr>
              <w:t xml:space="preserve">, G. &amp; </w:t>
            </w:r>
            <w:proofErr w:type="spellStart"/>
            <w:r w:rsidRPr="00E25DD6">
              <w:rPr>
                <w:sz w:val="20"/>
              </w:rPr>
              <w:t>Brunsson</w:t>
            </w:r>
            <w:proofErr w:type="spellEnd"/>
            <w:r w:rsidRPr="00E25DD6">
              <w:rPr>
                <w:sz w:val="20"/>
              </w:rPr>
              <w:t>, N. (2005). Organizations and meta-organizations. Scandinavian Journal of Management, 21, 429-449.</w:t>
            </w:r>
          </w:p>
        </w:tc>
      </w:tr>
      <w:tr w:rsidR="00E25DD6" w:rsidRPr="00E25DD6" w14:paraId="291E9B8B" w14:textId="77777777" w:rsidTr="00E25DD6">
        <w:trPr>
          <w:trHeight w:val="240"/>
        </w:trPr>
        <w:tc>
          <w:tcPr>
            <w:tcW w:w="9351" w:type="dxa"/>
            <w:hideMark/>
          </w:tcPr>
          <w:p w14:paraId="243F3D47" w14:textId="77777777" w:rsidR="00E25DD6" w:rsidRPr="00E25DD6" w:rsidRDefault="00E25DD6" w:rsidP="0024667E">
            <w:pPr>
              <w:pStyle w:val="niktext15"/>
              <w:rPr>
                <w:sz w:val="20"/>
              </w:rPr>
            </w:pPr>
            <w:proofErr w:type="spellStart"/>
            <w:r w:rsidRPr="00E25DD6">
              <w:rPr>
                <w:sz w:val="20"/>
              </w:rPr>
              <w:t>Ahrne</w:t>
            </w:r>
            <w:proofErr w:type="spellEnd"/>
            <w:r w:rsidRPr="00E25DD6">
              <w:rPr>
                <w:sz w:val="20"/>
              </w:rPr>
              <w:t xml:space="preserve">, G. &amp; </w:t>
            </w:r>
            <w:proofErr w:type="spellStart"/>
            <w:r w:rsidRPr="00E25DD6">
              <w:rPr>
                <w:sz w:val="20"/>
              </w:rPr>
              <w:t>Brunsson</w:t>
            </w:r>
            <w:proofErr w:type="spellEnd"/>
            <w:r w:rsidRPr="00E25DD6">
              <w:rPr>
                <w:sz w:val="20"/>
              </w:rPr>
              <w:t>, N. (2008). Meta-organizations. Cheltenham: Edward Elgar.</w:t>
            </w:r>
          </w:p>
        </w:tc>
      </w:tr>
      <w:tr w:rsidR="00E25DD6" w:rsidRPr="00E25DD6" w14:paraId="1D5CAEC2" w14:textId="77777777" w:rsidTr="00E25DD6">
        <w:trPr>
          <w:trHeight w:val="240"/>
        </w:trPr>
        <w:tc>
          <w:tcPr>
            <w:tcW w:w="9351" w:type="dxa"/>
            <w:noWrap/>
            <w:hideMark/>
          </w:tcPr>
          <w:p w14:paraId="7C13C43F" w14:textId="77777777" w:rsidR="00E25DD6" w:rsidRPr="00E25DD6" w:rsidRDefault="00E25DD6" w:rsidP="0024667E">
            <w:pPr>
              <w:pStyle w:val="niktext15"/>
              <w:rPr>
                <w:sz w:val="20"/>
              </w:rPr>
            </w:pPr>
            <w:proofErr w:type="spellStart"/>
            <w:r w:rsidRPr="00E25DD6">
              <w:rPr>
                <w:sz w:val="20"/>
              </w:rPr>
              <w:t>Ahrne</w:t>
            </w:r>
            <w:proofErr w:type="spellEnd"/>
            <w:r w:rsidRPr="00E25DD6">
              <w:rPr>
                <w:sz w:val="20"/>
              </w:rPr>
              <w:t xml:space="preserve">, G., </w:t>
            </w:r>
            <w:proofErr w:type="spellStart"/>
            <w:r w:rsidRPr="00E25DD6">
              <w:rPr>
                <w:sz w:val="20"/>
              </w:rPr>
              <w:t>Brunsson</w:t>
            </w:r>
            <w:proofErr w:type="spellEnd"/>
            <w:r w:rsidRPr="00E25DD6">
              <w:rPr>
                <w:sz w:val="20"/>
              </w:rPr>
              <w:t xml:space="preserve">, N. &amp; </w:t>
            </w:r>
            <w:proofErr w:type="spellStart"/>
            <w:r w:rsidRPr="00E25DD6">
              <w:rPr>
                <w:sz w:val="20"/>
              </w:rPr>
              <w:t>Garsten</w:t>
            </w:r>
            <w:proofErr w:type="spellEnd"/>
            <w:r w:rsidRPr="00E25DD6">
              <w:rPr>
                <w:sz w:val="20"/>
              </w:rPr>
              <w:t xml:space="preserve">, C. (2000). Standardizing through organization. In </w:t>
            </w:r>
            <w:proofErr w:type="spellStart"/>
            <w:r w:rsidRPr="00E25DD6">
              <w:rPr>
                <w:sz w:val="20"/>
              </w:rPr>
              <w:t>Brunsson</w:t>
            </w:r>
            <w:proofErr w:type="spellEnd"/>
            <w:r w:rsidRPr="00E25DD6">
              <w:rPr>
                <w:sz w:val="20"/>
              </w:rPr>
              <w:t xml:space="preserve">, N. &amp; </w:t>
            </w:r>
            <w:proofErr w:type="spellStart"/>
            <w:r w:rsidRPr="00E25DD6">
              <w:rPr>
                <w:sz w:val="20"/>
              </w:rPr>
              <w:t>Jacobsson</w:t>
            </w:r>
            <w:proofErr w:type="spellEnd"/>
            <w:r w:rsidRPr="00E25DD6">
              <w:rPr>
                <w:sz w:val="20"/>
              </w:rPr>
              <w:t>, B. (Ed.), A World of Standards (pp50-68). Oxford: OUP.</w:t>
            </w:r>
          </w:p>
        </w:tc>
      </w:tr>
      <w:tr w:rsidR="00E25DD6" w:rsidRPr="00E25DD6" w14:paraId="195FD735" w14:textId="77777777" w:rsidTr="00E25DD6">
        <w:trPr>
          <w:trHeight w:val="240"/>
        </w:trPr>
        <w:tc>
          <w:tcPr>
            <w:tcW w:w="9351" w:type="dxa"/>
            <w:noWrap/>
            <w:hideMark/>
          </w:tcPr>
          <w:p w14:paraId="7A1882D3" w14:textId="77777777" w:rsidR="00E25DD6" w:rsidRPr="00E25DD6" w:rsidRDefault="00E25DD6" w:rsidP="0024667E">
            <w:pPr>
              <w:pStyle w:val="niktext15"/>
              <w:rPr>
                <w:sz w:val="20"/>
              </w:rPr>
            </w:pPr>
            <w:proofErr w:type="spellStart"/>
            <w:r w:rsidRPr="00E25DD6">
              <w:rPr>
                <w:sz w:val="20"/>
              </w:rPr>
              <w:t>Albareda</w:t>
            </w:r>
            <w:proofErr w:type="spellEnd"/>
            <w:r w:rsidRPr="00E25DD6">
              <w:rPr>
                <w:sz w:val="20"/>
              </w:rPr>
              <w:t>, L. (2013). CSR governance innovation: standard competition-collaboration dynamic. Corporate Governance 13/5, 551-568.</w:t>
            </w:r>
          </w:p>
        </w:tc>
      </w:tr>
      <w:tr w:rsidR="00E25DD6" w:rsidRPr="00E25DD6" w14:paraId="68C5E523" w14:textId="77777777" w:rsidTr="00E25DD6">
        <w:trPr>
          <w:trHeight w:val="240"/>
        </w:trPr>
        <w:tc>
          <w:tcPr>
            <w:tcW w:w="9351" w:type="dxa"/>
            <w:hideMark/>
          </w:tcPr>
          <w:p w14:paraId="0C09A32E" w14:textId="77777777" w:rsidR="00E25DD6" w:rsidRPr="00E25DD6" w:rsidRDefault="00E25DD6" w:rsidP="0024667E">
            <w:pPr>
              <w:pStyle w:val="niktext15"/>
              <w:rPr>
                <w:sz w:val="20"/>
              </w:rPr>
            </w:pPr>
            <w:r w:rsidRPr="00E25DD6">
              <w:rPr>
                <w:sz w:val="20"/>
              </w:rPr>
              <w:t xml:space="preserve">Bachrach, P. &amp; </w:t>
            </w:r>
            <w:proofErr w:type="spellStart"/>
            <w:r w:rsidRPr="00E25DD6">
              <w:rPr>
                <w:sz w:val="20"/>
              </w:rPr>
              <w:t>Baratz</w:t>
            </w:r>
            <w:proofErr w:type="spellEnd"/>
            <w:r w:rsidRPr="00E25DD6">
              <w:rPr>
                <w:sz w:val="20"/>
              </w:rPr>
              <w:t>, M.S. (1970). Power and poverty. New York: Oxford University Press.</w:t>
            </w:r>
          </w:p>
        </w:tc>
      </w:tr>
      <w:tr w:rsidR="00E25DD6" w:rsidRPr="00E25DD6" w14:paraId="622B3130" w14:textId="77777777" w:rsidTr="00E25DD6">
        <w:trPr>
          <w:trHeight w:val="240"/>
        </w:trPr>
        <w:tc>
          <w:tcPr>
            <w:tcW w:w="9351" w:type="dxa"/>
            <w:noWrap/>
            <w:hideMark/>
          </w:tcPr>
          <w:p w14:paraId="004E9809" w14:textId="77777777" w:rsidR="00E25DD6" w:rsidRPr="00E25DD6" w:rsidRDefault="00E25DD6" w:rsidP="0024667E">
            <w:pPr>
              <w:pStyle w:val="niktext15"/>
              <w:rPr>
                <w:sz w:val="20"/>
              </w:rPr>
            </w:pPr>
            <w:proofErr w:type="spellStart"/>
            <w:r w:rsidRPr="00E25DD6">
              <w:rPr>
                <w:sz w:val="20"/>
              </w:rPr>
              <w:t>Backstrand</w:t>
            </w:r>
            <w:proofErr w:type="spellEnd"/>
            <w:r w:rsidRPr="00E25DD6">
              <w:rPr>
                <w:sz w:val="20"/>
              </w:rPr>
              <w:t>, K. &amp; Kuyper, J.W. (2017). The democratic legitimacy of orchestration, Environmental Politics 26/4, 764-788.</w:t>
            </w:r>
          </w:p>
        </w:tc>
      </w:tr>
      <w:tr w:rsidR="00E25DD6" w:rsidRPr="00E25DD6" w14:paraId="3FE2F753" w14:textId="77777777" w:rsidTr="00E25DD6">
        <w:trPr>
          <w:trHeight w:val="240"/>
        </w:trPr>
        <w:tc>
          <w:tcPr>
            <w:tcW w:w="9351" w:type="dxa"/>
            <w:noWrap/>
            <w:hideMark/>
          </w:tcPr>
          <w:p w14:paraId="67B5AE0C" w14:textId="77777777" w:rsidR="00E25DD6" w:rsidRPr="00E25DD6" w:rsidRDefault="00E25DD6" w:rsidP="0024667E">
            <w:pPr>
              <w:pStyle w:val="niktext15"/>
              <w:rPr>
                <w:sz w:val="20"/>
              </w:rPr>
            </w:pPr>
            <w:r w:rsidRPr="00E25DD6">
              <w:rPr>
                <w:sz w:val="20"/>
              </w:rPr>
              <w:t>Barton, D. (2019). Speech to the IIRC Global Conference, London, 17 May.</w:t>
            </w:r>
          </w:p>
        </w:tc>
      </w:tr>
      <w:tr w:rsidR="00E25DD6" w:rsidRPr="00E25DD6" w14:paraId="45AB1345" w14:textId="77777777" w:rsidTr="00E25DD6">
        <w:trPr>
          <w:trHeight w:val="225"/>
        </w:trPr>
        <w:tc>
          <w:tcPr>
            <w:tcW w:w="9351" w:type="dxa"/>
            <w:noWrap/>
            <w:hideMark/>
          </w:tcPr>
          <w:p w14:paraId="35DBA08D" w14:textId="77777777" w:rsidR="00E25DD6" w:rsidRPr="00E25DD6" w:rsidRDefault="00E25DD6" w:rsidP="0024667E">
            <w:pPr>
              <w:pStyle w:val="niktext15"/>
              <w:rPr>
                <w:sz w:val="20"/>
              </w:rPr>
            </w:pPr>
            <w:proofErr w:type="spellStart"/>
            <w:r w:rsidRPr="00E25DD6">
              <w:rPr>
                <w:sz w:val="20"/>
              </w:rPr>
              <w:t>Baudot</w:t>
            </w:r>
            <w:proofErr w:type="spellEnd"/>
            <w:r w:rsidRPr="00E25DD6">
              <w:rPr>
                <w:sz w:val="20"/>
              </w:rPr>
              <w:t>, L. (2018). On commitment towards knowledge templates in global standard-setting. Contemporary Accounting Research 35/2, 657-695.</w:t>
            </w:r>
          </w:p>
        </w:tc>
      </w:tr>
      <w:tr w:rsidR="00E25DD6" w:rsidRPr="00E25DD6" w14:paraId="1385996F" w14:textId="77777777" w:rsidTr="00E25DD6">
        <w:trPr>
          <w:trHeight w:val="255"/>
        </w:trPr>
        <w:tc>
          <w:tcPr>
            <w:tcW w:w="9351" w:type="dxa"/>
            <w:noWrap/>
            <w:hideMark/>
          </w:tcPr>
          <w:p w14:paraId="06194C02" w14:textId="77777777" w:rsidR="00E25DD6" w:rsidRPr="00E25DD6" w:rsidRDefault="00E25DD6" w:rsidP="0024667E">
            <w:pPr>
              <w:pStyle w:val="niktext15"/>
              <w:rPr>
                <w:sz w:val="20"/>
              </w:rPr>
            </w:pPr>
            <w:r w:rsidRPr="00E25DD6">
              <w:rPr>
                <w:sz w:val="20"/>
              </w:rPr>
              <w:t xml:space="preserve">Bebbington, J., Kirk, E.A. &amp; Larrinaga, C. (2012). The production of normativity: a comparison of reporting regimes in Spain and the UK, </w:t>
            </w:r>
            <w:r w:rsidRPr="00E25DD6">
              <w:rPr>
                <w:i/>
                <w:iCs/>
                <w:sz w:val="20"/>
              </w:rPr>
              <w:t>Accounting, Organizations &amp; Society</w:t>
            </w:r>
            <w:r w:rsidRPr="00E25DD6">
              <w:rPr>
                <w:sz w:val="20"/>
              </w:rPr>
              <w:t>, 37 78-94.</w:t>
            </w:r>
          </w:p>
        </w:tc>
      </w:tr>
      <w:tr w:rsidR="00E25DD6" w:rsidRPr="00E25DD6" w14:paraId="4EA6511D" w14:textId="77777777" w:rsidTr="00E25DD6">
        <w:trPr>
          <w:trHeight w:val="225"/>
        </w:trPr>
        <w:tc>
          <w:tcPr>
            <w:tcW w:w="9351" w:type="dxa"/>
            <w:hideMark/>
          </w:tcPr>
          <w:p w14:paraId="6CAD47BF" w14:textId="77777777" w:rsidR="00E25DD6" w:rsidRPr="00E25DD6" w:rsidRDefault="00E25DD6" w:rsidP="0024667E">
            <w:pPr>
              <w:pStyle w:val="niktext15"/>
              <w:rPr>
                <w:sz w:val="20"/>
              </w:rPr>
            </w:pPr>
            <w:proofErr w:type="spellStart"/>
            <w:r w:rsidRPr="00E25DD6">
              <w:rPr>
                <w:sz w:val="20"/>
              </w:rPr>
              <w:t>Bendell</w:t>
            </w:r>
            <w:proofErr w:type="spellEnd"/>
            <w:r w:rsidRPr="00E25DD6">
              <w:rPr>
                <w:sz w:val="20"/>
              </w:rPr>
              <w:t>, J., Miller, A. &amp; Wortmann, K. (2011). Public policies for scaling corporate responsibility standards, Sustainability Accounting, Management &amp; Policy Journal 2/2 p.263-293.</w:t>
            </w:r>
          </w:p>
        </w:tc>
      </w:tr>
      <w:tr w:rsidR="00E25DD6" w:rsidRPr="00E25DD6" w14:paraId="5E142D7F" w14:textId="77777777" w:rsidTr="00E25DD6">
        <w:trPr>
          <w:trHeight w:val="255"/>
        </w:trPr>
        <w:tc>
          <w:tcPr>
            <w:tcW w:w="9351" w:type="dxa"/>
            <w:hideMark/>
          </w:tcPr>
          <w:p w14:paraId="7756F579" w14:textId="77777777" w:rsidR="00E25DD6" w:rsidRPr="00E25DD6" w:rsidRDefault="00E25DD6" w:rsidP="0024667E">
            <w:pPr>
              <w:pStyle w:val="niktext15"/>
              <w:rPr>
                <w:sz w:val="20"/>
              </w:rPr>
            </w:pPr>
            <w:r w:rsidRPr="00E25DD6">
              <w:rPr>
                <w:sz w:val="20"/>
              </w:rPr>
              <w:lastRenderedPageBreak/>
              <w:t xml:space="preserve">Bengtsson, E. (2011). </w:t>
            </w:r>
            <w:proofErr w:type="spellStart"/>
            <w:r w:rsidRPr="00E25DD6">
              <w:rPr>
                <w:sz w:val="20"/>
              </w:rPr>
              <w:t>Repoliticalization</w:t>
            </w:r>
            <w:proofErr w:type="spellEnd"/>
            <w:r w:rsidRPr="00E25DD6">
              <w:rPr>
                <w:sz w:val="20"/>
              </w:rPr>
              <w:t xml:space="preserve"> of accounting standard setting, </w:t>
            </w:r>
            <w:r w:rsidRPr="00E25DD6">
              <w:rPr>
                <w:i/>
                <w:iCs/>
                <w:sz w:val="20"/>
              </w:rPr>
              <w:t>Critical Perspectives on Accounting</w:t>
            </w:r>
            <w:r w:rsidRPr="00E25DD6">
              <w:rPr>
                <w:sz w:val="20"/>
              </w:rPr>
              <w:t>, 22/6, 567-580.</w:t>
            </w:r>
          </w:p>
        </w:tc>
      </w:tr>
      <w:tr w:rsidR="00E25DD6" w:rsidRPr="00E25DD6" w14:paraId="043E9947" w14:textId="77777777" w:rsidTr="00E25DD6">
        <w:trPr>
          <w:trHeight w:val="225"/>
        </w:trPr>
        <w:tc>
          <w:tcPr>
            <w:tcW w:w="9351" w:type="dxa"/>
            <w:noWrap/>
            <w:hideMark/>
          </w:tcPr>
          <w:p w14:paraId="0C2861DA" w14:textId="77777777" w:rsidR="00E25DD6" w:rsidRPr="00E25DD6" w:rsidRDefault="00E25DD6" w:rsidP="0024667E">
            <w:pPr>
              <w:pStyle w:val="niktext15"/>
              <w:rPr>
                <w:sz w:val="20"/>
              </w:rPr>
            </w:pPr>
            <w:r w:rsidRPr="00E25DD6">
              <w:rPr>
                <w:sz w:val="20"/>
              </w:rPr>
              <w:t>Berkowitz, H. &amp; Dumez, H. (2016). The concept of meta-organization, European Management Review, 13, 149-156.</w:t>
            </w:r>
          </w:p>
        </w:tc>
      </w:tr>
      <w:tr w:rsidR="00E25DD6" w:rsidRPr="00E25DD6" w14:paraId="4A3E9F8C" w14:textId="77777777" w:rsidTr="00E25DD6">
        <w:trPr>
          <w:trHeight w:val="255"/>
        </w:trPr>
        <w:tc>
          <w:tcPr>
            <w:tcW w:w="9351" w:type="dxa"/>
            <w:noWrap/>
            <w:hideMark/>
          </w:tcPr>
          <w:p w14:paraId="1C71866C" w14:textId="53DAF74C" w:rsidR="00E25DD6" w:rsidRPr="00E25DD6" w:rsidRDefault="00E25DD6" w:rsidP="0024667E">
            <w:pPr>
              <w:pStyle w:val="niktext15"/>
              <w:rPr>
                <w:sz w:val="20"/>
              </w:rPr>
            </w:pPr>
            <w:r w:rsidRPr="00E25DD6">
              <w:rPr>
                <w:sz w:val="20"/>
              </w:rPr>
              <w:t>Bloomberg LP (2019a). Bloomberg Impact Report. Bloomberg LP.</w:t>
            </w:r>
          </w:p>
        </w:tc>
      </w:tr>
      <w:tr w:rsidR="00E25DD6" w:rsidRPr="00E25DD6" w14:paraId="057C474E" w14:textId="77777777" w:rsidTr="00E25DD6">
        <w:trPr>
          <w:trHeight w:val="225"/>
        </w:trPr>
        <w:tc>
          <w:tcPr>
            <w:tcW w:w="9351" w:type="dxa"/>
            <w:noWrap/>
            <w:hideMark/>
          </w:tcPr>
          <w:p w14:paraId="220A7020" w14:textId="124E01E4" w:rsidR="00E25DD6" w:rsidRPr="00E25DD6" w:rsidRDefault="00E25DD6" w:rsidP="0024667E">
            <w:pPr>
              <w:pStyle w:val="niktext15"/>
              <w:rPr>
                <w:sz w:val="20"/>
              </w:rPr>
            </w:pPr>
            <w:r w:rsidRPr="00E25DD6">
              <w:rPr>
                <w:sz w:val="20"/>
              </w:rPr>
              <w:t>Bloomberg LP (2019b). Impact Report 2018. Bloomberg LP.</w:t>
            </w:r>
          </w:p>
        </w:tc>
      </w:tr>
      <w:tr w:rsidR="00E25DD6" w:rsidRPr="00E25DD6" w14:paraId="2A1DA89A" w14:textId="77777777" w:rsidTr="00E25DD6">
        <w:trPr>
          <w:trHeight w:val="225"/>
        </w:trPr>
        <w:tc>
          <w:tcPr>
            <w:tcW w:w="9351" w:type="dxa"/>
            <w:noWrap/>
            <w:hideMark/>
          </w:tcPr>
          <w:p w14:paraId="1C5954F9" w14:textId="77777777" w:rsidR="00E25DD6" w:rsidRPr="00E25DD6" w:rsidRDefault="00E25DD6" w:rsidP="0024667E">
            <w:pPr>
              <w:pStyle w:val="niktext15"/>
              <w:rPr>
                <w:sz w:val="20"/>
              </w:rPr>
            </w:pPr>
            <w:proofErr w:type="spellStart"/>
            <w:r w:rsidRPr="00E25DD6">
              <w:rPr>
                <w:sz w:val="20"/>
              </w:rPr>
              <w:t>Botzem</w:t>
            </w:r>
            <w:proofErr w:type="spellEnd"/>
            <w:r w:rsidRPr="00E25DD6">
              <w:rPr>
                <w:sz w:val="20"/>
              </w:rPr>
              <w:t xml:space="preserve">, S. &amp; </w:t>
            </w:r>
            <w:proofErr w:type="spellStart"/>
            <w:r w:rsidRPr="00E25DD6">
              <w:rPr>
                <w:sz w:val="20"/>
              </w:rPr>
              <w:t>Dobusch</w:t>
            </w:r>
            <w:proofErr w:type="spellEnd"/>
            <w:r w:rsidRPr="00E25DD6">
              <w:rPr>
                <w:sz w:val="20"/>
              </w:rPr>
              <w:t>, L. (2012). Standardization Cycles: a process perspective on the formation and diffusion of transnational standards. Organization Studies, 33/5-6, 737-762.</w:t>
            </w:r>
          </w:p>
        </w:tc>
      </w:tr>
      <w:tr w:rsidR="00E25DD6" w:rsidRPr="00E25DD6" w14:paraId="16E933AD" w14:textId="77777777" w:rsidTr="00E25DD6">
        <w:trPr>
          <w:trHeight w:val="255"/>
        </w:trPr>
        <w:tc>
          <w:tcPr>
            <w:tcW w:w="9351" w:type="dxa"/>
            <w:hideMark/>
          </w:tcPr>
          <w:p w14:paraId="1A9D12DC" w14:textId="77777777" w:rsidR="00E25DD6" w:rsidRPr="00E25DD6" w:rsidRDefault="00E25DD6" w:rsidP="0024667E">
            <w:pPr>
              <w:pStyle w:val="niktext15"/>
              <w:rPr>
                <w:sz w:val="20"/>
              </w:rPr>
            </w:pPr>
            <w:r w:rsidRPr="00E25DD6">
              <w:rPr>
                <w:sz w:val="20"/>
              </w:rPr>
              <w:t>Broadbent, J. &amp; Laughlin, R. (2002). Accounting choices: technical and political trade-offs and the UK private finance initiative, Accounting, Auditing &amp; Accountability Journal 15/5 p.622-654.</w:t>
            </w:r>
          </w:p>
        </w:tc>
      </w:tr>
      <w:tr w:rsidR="00E25DD6" w:rsidRPr="00E25DD6" w14:paraId="4966256B" w14:textId="77777777" w:rsidTr="00E25DD6">
        <w:trPr>
          <w:trHeight w:val="240"/>
        </w:trPr>
        <w:tc>
          <w:tcPr>
            <w:tcW w:w="9351" w:type="dxa"/>
            <w:hideMark/>
          </w:tcPr>
          <w:p w14:paraId="06A02989" w14:textId="77777777" w:rsidR="00E25DD6" w:rsidRPr="00E25DD6" w:rsidRDefault="00E25DD6" w:rsidP="0024667E">
            <w:pPr>
              <w:pStyle w:val="niktext15"/>
              <w:rPr>
                <w:sz w:val="20"/>
              </w:rPr>
            </w:pPr>
            <w:r w:rsidRPr="00E25DD6">
              <w:rPr>
                <w:sz w:val="20"/>
              </w:rPr>
              <w:t xml:space="preserve">Brown, H.S., De Jong, M. &amp; </w:t>
            </w:r>
            <w:proofErr w:type="spellStart"/>
            <w:r w:rsidRPr="00E25DD6">
              <w:rPr>
                <w:sz w:val="20"/>
              </w:rPr>
              <w:t>Lessidrenska</w:t>
            </w:r>
            <w:proofErr w:type="spellEnd"/>
            <w:r w:rsidRPr="00E25DD6">
              <w:rPr>
                <w:sz w:val="20"/>
              </w:rPr>
              <w:t>, T. (2009). The rise of the GRI: a case of institutional entrepreneurship, Environmental Politics 18/2 p.182-200.</w:t>
            </w:r>
          </w:p>
        </w:tc>
      </w:tr>
      <w:tr w:rsidR="00E25DD6" w:rsidRPr="00E25DD6" w14:paraId="1230B062" w14:textId="77777777" w:rsidTr="00E25DD6">
        <w:trPr>
          <w:trHeight w:val="225"/>
        </w:trPr>
        <w:tc>
          <w:tcPr>
            <w:tcW w:w="9351" w:type="dxa"/>
            <w:noWrap/>
            <w:hideMark/>
          </w:tcPr>
          <w:p w14:paraId="6186F9F9" w14:textId="77777777" w:rsidR="00E25DD6" w:rsidRPr="00E25DD6" w:rsidRDefault="00E25DD6" w:rsidP="0024667E">
            <w:pPr>
              <w:pStyle w:val="niktext15"/>
              <w:rPr>
                <w:sz w:val="20"/>
              </w:rPr>
            </w:pPr>
            <w:r w:rsidRPr="00E25DD6">
              <w:rPr>
                <w:sz w:val="20"/>
              </w:rPr>
              <w:t xml:space="preserve">Brown, J. &amp; Tregidga, H. (2017). Re-politicizing social and environmental accounting through </w:t>
            </w:r>
            <w:proofErr w:type="spellStart"/>
            <w:r w:rsidRPr="00E25DD6">
              <w:rPr>
                <w:sz w:val="20"/>
              </w:rPr>
              <w:t>Rancière</w:t>
            </w:r>
            <w:proofErr w:type="spellEnd"/>
            <w:r w:rsidRPr="00E25DD6">
              <w:rPr>
                <w:sz w:val="20"/>
              </w:rPr>
              <w:t>: on the value of dissensus, Accounting, Organizations &amp; Society 61, 1-21.</w:t>
            </w:r>
          </w:p>
        </w:tc>
      </w:tr>
      <w:tr w:rsidR="00E25DD6" w:rsidRPr="00E25DD6" w14:paraId="792F2663" w14:textId="77777777" w:rsidTr="00E25DD6">
        <w:trPr>
          <w:trHeight w:val="255"/>
        </w:trPr>
        <w:tc>
          <w:tcPr>
            <w:tcW w:w="9351" w:type="dxa"/>
            <w:noWrap/>
            <w:hideMark/>
          </w:tcPr>
          <w:p w14:paraId="10070A9F" w14:textId="77777777" w:rsidR="00E25DD6" w:rsidRPr="00E25DD6" w:rsidRDefault="00E25DD6" w:rsidP="0024667E">
            <w:pPr>
              <w:pStyle w:val="niktext15"/>
              <w:rPr>
                <w:sz w:val="20"/>
              </w:rPr>
            </w:pPr>
            <w:r w:rsidRPr="00E25DD6">
              <w:rPr>
                <w:sz w:val="20"/>
              </w:rPr>
              <w:t xml:space="preserve">Brown, J. (2009). Democracy, </w:t>
            </w:r>
            <w:proofErr w:type="gramStart"/>
            <w:r w:rsidRPr="00E25DD6">
              <w:rPr>
                <w:sz w:val="20"/>
              </w:rPr>
              <w:t>sustainability</w:t>
            </w:r>
            <w:proofErr w:type="gramEnd"/>
            <w:r w:rsidRPr="00E25DD6">
              <w:rPr>
                <w:sz w:val="20"/>
              </w:rPr>
              <w:t xml:space="preserve"> and dialogic accounting technologies. Critical Perspectives on Accounting, 20/3, 313-342.</w:t>
            </w:r>
          </w:p>
        </w:tc>
      </w:tr>
      <w:tr w:rsidR="00E25DD6" w:rsidRPr="00E25DD6" w14:paraId="6843CA16" w14:textId="77777777" w:rsidTr="00E25DD6">
        <w:trPr>
          <w:trHeight w:val="225"/>
        </w:trPr>
        <w:tc>
          <w:tcPr>
            <w:tcW w:w="9351" w:type="dxa"/>
            <w:noWrap/>
            <w:hideMark/>
          </w:tcPr>
          <w:p w14:paraId="645D3EEC" w14:textId="77777777" w:rsidR="00E25DD6" w:rsidRPr="00E25DD6" w:rsidRDefault="00E25DD6" w:rsidP="0024667E">
            <w:pPr>
              <w:pStyle w:val="niktext15"/>
              <w:rPr>
                <w:sz w:val="20"/>
              </w:rPr>
            </w:pPr>
            <w:proofErr w:type="spellStart"/>
            <w:r w:rsidRPr="00E25DD6">
              <w:rPr>
                <w:sz w:val="20"/>
              </w:rPr>
              <w:t>Brunsson</w:t>
            </w:r>
            <w:proofErr w:type="spellEnd"/>
            <w:r w:rsidRPr="00E25DD6">
              <w:rPr>
                <w:sz w:val="20"/>
              </w:rPr>
              <w:t xml:space="preserve">, N. &amp; </w:t>
            </w:r>
            <w:proofErr w:type="spellStart"/>
            <w:r w:rsidRPr="00E25DD6">
              <w:rPr>
                <w:sz w:val="20"/>
              </w:rPr>
              <w:t>Jacobsson</w:t>
            </w:r>
            <w:proofErr w:type="spellEnd"/>
            <w:r w:rsidRPr="00E25DD6">
              <w:rPr>
                <w:sz w:val="20"/>
              </w:rPr>
              <w:t xml:space="preserve">, B. (2000a). The contemporary expansion of standardization. In </w:t>
            </w:r>
            <w:proofErr w:type="spellStart"/>
            <w:r w:rsidRPr="00E25DD6">
              <w:rPr>
                <w:sz w:val="20"/>
              </w:rPr>
              <w:t>Brunsson</w:t>
            </w:r>
            <w:proofErr w:type="spellEnd"/>
            <w:r w:rsidRPr="00E25DD6">
              <w:rPr>
                <w:sz w:val="20"/>
              </w:rPr>
              <w:t xml:space="preserve">, N. &amp; </w:t>
            </w:r>
            <w:proofErr w:type="spellStart"/>
            <w:r w:rsidRPr="00E25DD6">
              <w:rPr>
                <w:sz w:val="20"/>
              </w:rPr>
              <w:t>Jacobsson</w:t>
            </w:r>
            <w:proofErr w:type="spellEnd"/>
            <w:r w:rsidRPr="00E25DD6">
              <w:rPr>
                <w:sz w:val="20"/>
              </w:rPr>
              <w:t>, B. (Ed.), A World of Standards (pp1-17). Oxford: OUP.</w:t>
            </w:r>
          </w:p>
        </w:tc>
      </w:tr>
      <w:tr w:rsidR="00E25DD6" w:rsidRPr="00E25DD6" w14:paraId="3EA6BF49" w14:textId="77777777" w:rsidTr="00E25DD6">
        <w:trPr>
          <w:trHeight w:val="255"/>
        </w:trPr>
        <w:tc>
          <w:tcPr>
            <w:tcW w:w="9351" w:type="dxa"/>
            <w:noWrap/>
            <w:hideMark/>
          </w:tcPr>
          <w:p w14:paraId="0AECEF58" w14:textId="77777777" w:rsidR="00E25DD6" w:rsidRPr="00E25DD6" w:rsidRDefault="00E25DD6" w:rsidP="0024667E">
            <w:pPr>
              <w:pStyle w:val="niktext15"/>
              <w:rPr>
                <w:sz w:val="20"/>
              </w:rPr>
            </w:pPr>
            <w:r w:rsidRPr="00E25DD6">
              <w:rPr>
                <w:sz w:val="20"/>
              </w:rPr>
              <w:t>Capitals Coalition (2020). Improving nature's visibility in financial accounting. Capitals Coalition, London.</w:t>
            </w:r>
          </w:p>
        </w:tc>
      </w:tr>
      <w:tr w:rsidR="00E25DD6" w:rsidRPr="00E25DD6" w14:paraId="0B1AD3C2" w14:textId="77777777" w:rsidTr="00E25DD6">
        <w:trPr>
          <w:trHeight w:val="255"/>
        </w:trPr>
        <w:tc>
          <w:tcPr>
            <w:tcW w:w="9351" w:type="dxa"/>
            <w:noWrap/>
            <w:hideMark/>
          </w:tcPr>
          <w:p w14:paraId="48EEC57B" w14:textId="77777777" w:rsidR="00E25DD6" w:rsidRPr="00E25DD6" w:rsidRDefault="00E25DD6" w:rsidP="0024667E">
            <w:pPr>
              <w:pStyle w:val="niktext15"/>
              <w:rPr>
                <w:sz w:val="20"/>
              </w:rPr>
            </w:pPr>
            <w:r w:rsidRPr="00E25DD6">
              <w:rPr>
                <w:sz w:val="20"/>
              </w:rPr>
              <w:t xml:space="preserve">Carter, C., Clegg, S. &amp; </w:t>
            </w:r>
            <w:proofErr w:type="spellStart"/>
            <w:r w:rsidRPr="00E25DD6">
              <w:rPr>
                <w:sz w:val="20"/>
              </w:rPr>
              <w:t>Kornberger</w:t>
            </w:r>
            <w:proofErr w:type="spellEnd"/>
            <w:r w:rsidRPr="00E25DD6">
              <w:rPr>
                <w:sz w:val="20"/>
              </w:rPr>
              <w:t>, M. (2010). Re-framing strategy: power, politics and accounting, Accounting, Auditing &amp; Accountability Journal 23/5, 573-594.</w:t>
            </w:r>
          </w:p>
        </w:tc>
      </w:tr>
      <w:tr w:rsidR="00E25DD6" w:rsidRPr="00E25DD6" w14:paraId="1B220B9B" w14:textId="77777777" w:rsidTr="00E25DD6">
        <w:trPr>
          <w:trHeight w:val="255"/>
        </w:trPr>
        <w:tc>
          <w:tcPr>
            <w:tcW w:w="9351" w:type="dxa"/>
            <w:hideMark/>
          </w:tcPr>
          <w:p w14:paraId="1E4D6B82" w14:textId="77777777" w:rsidR="00E25DD6" w:rsidRPr="00E25DD6" w:rsidRDefault="00E25DD6" w:rsidP="0024667E">
            <w:pPr>
              <w:pStyle w:val="niktext15"/>
              <w:rPr>
                <w:sz w:val="20"/>
              </w:rPr>
            </w:pPr>
            <w:r w:rsidRPr="00E25DD6">
              <w:rPr>
                <w:sz w:val="20"/>
              </w:rPr>
              <w:t xml:space="preserve">Carter, C., Clegg, S. &amp; </w:t>
            </w:r>
            <w:proofErr w:type="spellStart"/>
            <w:r w:rsidRPr="00E25DD6">
              <w:rPr>
                <w:sz w:val="20"/>
              </w:rPr>
              <w:t>Wahlin</w:t>
            </w:r>
            <w:proofErr w:type="spellEnd"/>
            <w:r w:rsidRPr="00E25DD6">
              <w:rPr>
                <w:sz w:val="20"/>
              </w:rPr>
              <w:t xml:space="preserve">, N. (2011). When science meets strategic realpolitik, </w:t>
            </w:r>
            <w:r w:rsidRPr="00E25DD6">
              <w:rPr>
                <w:i/>
                <w:iCs/>
                <w:sz w:val="20"/>
              </w:rPr>
              <w:t>Critical Perspectives on Accounting</w:t>
            </w:r>
            <w:r w:rsidRPr="00E25DD6">
              <w:rPr>
                <w:sz w:val="20"/>
              </w:rPr>
              <w:t>, 22/7, 682-697.</w:t>
            </w:r>
          </w:p>
        </w:tc>
      </w:tr>
      <w:tr w:rsidR="00E25DD6" w:rsidRPr="00E25DD6" w14:paraId="578F5A70" w14:textId="77777777" w:rsidTr="00E25DD6">
        <w:trPr>
          <w:trHeight w:val="255"/>
        </w:trPr>
        <w:tc>
          <w:tcPr>
            <w:tcW w:w="9351" w:type="dxa"/>
            <w:noWrap/>
            <w:hideMark/>
          </w:tcPr>
          <w:p w14:paraId="75479E43" w14:textId="77777777" w:rsidR="00E25DD6" w:rsidRPr="00E25DD6" w:rsidRDefault="00E25DD6" w:rsidP="0024667E">
            <w:pPr>
              <w:pStyle w:val="niktext15"/>
              <w:rPr>
                <w:sz w:val="20"/>
              </w:rPr>
            </w:pPr>
            <w:r w:rsidRPr="00E25DD6">
              <w:rPr>
                <w:sz w:val="20"/>
              </w:rPr>
              <w:t>Cave, T. &amp; Rowell, A. (2015). A quiet word. Vintage Books, London.</w:t>
            </w:r>
          </w:p>
        </w:tc>
      </w:tr>
      <w:tr w:rsidR="00E25DD6" w:rsidRPr="00E25DD6" w14:paraId="15879A80" w14:textId="77777777" w:rsidTr="00E25DD6">
        <w:trPr>
          <w:trHeight w:val="225"/>
        </w:trPr>
        <w:tc>
          <w:tcPr>
            <w:tcW w:w="9351" w:type="dxa"/>
            <w:noWrap/>
            <w:hideMark/>
          </w:tcPr>
          <w:p w14:paraId="171B8345" w14:textId="77777777" w:rsidR="00E25DD6" w:rsidRPr="00E25DD6" w:rsidRDefault="00E25DD6" w:rsidP="0024667E">
            <w:pPr>
              <w:pStyle w:val="niktext15"/>
              <w:rPr>
                <w:sz w:val="20"/>
              </w:rPr>
            </w:pPr>
            <w:r w:rsidRPr="00E25DD6">
              <w:rPr>
                <w:sz w:val="20"/>
              </w:rPr>
              <w:t>CDP &amp; CDSB (2019). Roadmap for adopting the TCFD recommendations. CDP &amp; CDSB.</w:t>
            </w:r>
          </w:p>
        </w:tc>
      </w:tr>
      <w:tr w:rsidR="00E25DD6" w:rsidRPr="00E25DD6" w14:paraId="2B938842" w14:textId="77777777" w:rsidTr="00E25DD6">
        <w:trPr>
          <w:trHeight w:val="255"/>
        </w:trPr>
        <w:tc>
          <w:tcPr>
            <w:tcW w:w="9351" w:type="dxa"/>
            <w:noWrap/>
            <w:hideMark/>
          </w:tcPr>
          <w:p w14:paraId="1F70204A" w14:textId="57D3F823" w:rsidR="00E25DD6" w:rsidRPr="00E25DD6" w:rsidRDefault="00E25DD6" w:rsidP="0024667E">
            <w:pPr>
              <w:pStyle w:val="niktext15"/>
              <w:rPr>
                <w:sz w:val="20"/>
              </w:rPr>
            </w:pPr>
            <w:r w:rsidRPr="00E25DD6">
              <w:rPr>
                <w:sz w:val="20"/>
              </w:rPr>
              <w:t>CDP, CDSB, GRI, IIRC &amp; SASB. (2020a). Statement of intent to work together towards comprehensive corporate reporting. IMP, WEF &amp; Deloitte.</w:t>
            </w:r>
          </w:p>
        </w:tc>
      </w:tr>
      <w:tr w:rsidR="00E25DD6" w:rsidRPr="00E25DD6" w14:paraId="78EB304C" w14:textId="77777777" w:rsidTr="00E25DD6">
        <w:trPr>
          <w:trHeight w:val="255"/>
        </w:trPr>
        <w:tc>
          <w:tcPr>
            <w:tcW w:w="9351" w:type="dxa"/>
            <w:noWrap/>
            <w:hideMark/>
          </w:tcPr>
          <w:p w14:paraId="687C057B" w14:textId="79E32F47" w:rsidR="00E25DD6" w:rsidRPr="00E25DD6" w:rsidRDefault="00E25DD6" w:rsidP="0024667E">
            <w:pPr>
              <w:pStyle w:val="niktext15"/>
              <w:rPr>
                <w:sz w:val="20"/>
              </w:rPr>
            </w:pPr>
            <w:r w:rsidRPr="00E25DD6">
              <w:rPr>
                <w:sz w:val="20"/>
              </w:rPr>
              <w:t>CDP, CDSB, GRI, IIRC &amp; SASB. (2020b). Working together to meet the needs of the capital markets. CDP, CDSB, GRI, IIRC &amp; SASB.</w:t>
            </w:r>
          </w:p>
        </w:tc>
      </w:tr>
      <w:tr w:rsidR="00E25DD6" w:rsidRPr="00E25DD6" w14:paraId="1ACC68AD" w14:textId="77777777" w:rsidTr="00E25DD6">
        <w:trPr>
          <w:trHeight w:val="255"/>
        </w:trPr>
        <w:tc>
          <w:tcPr>
            <w:tcW w:w="9351" w:type="dxa"/>
            <w:noWrap/>
            <w:hideMark/>
          </w:tcPr>
          <w:p w14:paraId="74DB43FE" w14:textId="77777777" w:rsidR="00E25DD6" w:rsidRPr="00E25DD6" w:rsidRDefault="00E25DD6" w:rsidP="0024667E">
            <w:pPr>
              <w:pStyle w:val="niktext15"/>
              <w:rPr>
                <w:sz w:val="20"/>
              </w:rPr>
            </w:pPr>
            <w:proofErr w:type="spellStart"/>
            <w:r w:rsidRPr="00E25DD6">
              <w:rPr>
                <w:sz w:val="20"/>
              </w:rPr>
              <w:t>Chiapello</w:t>
            </w:r>
            <w:proofErr w:type="spellEnd"/>
            <w:r w:rsidRPr="00E25DD6">
              <w:rPr>
                <w:sz w:val="20"/>
              </w:rPr>
              <w:t xml:space="preserve">, E., &amp; </w:t>
            </w:r>
            <w:proofErr w:type="spellStart"/>
            <w:r w:rsidRPr="00E25DD6">
              <w:rPr>
                <w:sz w:val="20"/>
              </w:rPr>
              <w:t>Medjad</w:t>
            </w:r>
            <w:proofErr w:type="spellEnd"/>
            <w:r w:rsidRPr="00E25DD6">
              <w:rPr>
                <w:sz w:val="20"/>
              </w:rPr>
              <w:t xml:space="preserve">, K. (2009). An unprecedented privatisation of mandatory standard-setting: The case of European accounting policy. </w:t>
            </w:r>
            <w:r w:rsidRPr="00E25DD6">
              <w:rPr>
                <w:i/>
                <w:iCs/>
                <w:sz w:val="20"/>
              </w:rPr>
              <w:t>Critical Perspectives on Accounting, 20</w:t>
            </w:r>
            <w:r w:rsidRPr="00E25DD6">
              <w:rPr>
                <w:sz w:val="20"/>
              </w:rPr>
              <w:t xml:space="preserve">, 448-468. </w:t>
            </w:r>
          </w:p>
        </w:tc>
      </w:tr>
      <w:tr w:rsidR="00E25DD6" w:rsidRPr="00E25DD6" w14:paraId="2F34F8A7" w14:textId="77777777" w:rsidTr="00E25DD6">
        <w:trPr>
          <w:trHeight w:val="240"/>
        </w:trPr>
        <w:tc>
          <w:tcPr>
            <w:tcW w:w="9351" w:type="dxa"/>
            <w:noWrap/>
            <w:hideMark/>
          </w:tcPr>
          <w:p w14:paraId="502ED1D7" w14:textId="699E1F1D" w:rsidR="00E25DD6" w:rsidRPr="00E25DD6" w:rsidRDefault="00E25DD6" w:rsidP="0024667E">
            <w:pPr>
              <w:pStyle w:val="niktext15"/>
              <w:rPr>
                <w:sz w:val="20"/>
              </w:rPr>
            </w:pPr>
            <w:proofErr w:type="spellStart"/>
            <w:r w:rsidRPr="00E25DD6">
              <w:rPr>
                <w:sz w:val="20"/>
              </w:rPr>
              <w:t>Contrafatto</w:t>
            </w:r>
            <w:proofErr w:type="spellEnd"/>
            <w:r w:rsidRPr="00E25DD6">
              <w:rPr>
                <w:sz w:val="20"/>
              </w:rPr>
              <w:t>, M., Ferguson, J., Power, D., Stevenson, L. &amp; Collison, D. (2020). Understanding power-related strategies and initiatives: the case of the European Commission Green Paper on CSR, Accounting, Auditing &amp; Accountability Journal 33/3, 559-587.</w:t>
            </w:r>
          </w:p>
        </w:tc>
      </w:tr>
      <w:tr w:rsidR="00E25DD6" w:rsidRPr="00E25DD6" w14:paraId="400F80E8" w14:textId="77777777" w:rsidTr="00E25DD6">
        <w:trPr>
          <w:trHeight w:val="240"/>
        </w:trPr>
        <w:tc>
          <w:tcPr>
            <w:tcW w:w="9351" w:type="dxa"/>
            <w:hideMark/>
          </w:tcPr>
          <w:p w14:paraId="7593BEE6" w14:textId="77777777" w:rsidR="00E25DD6" w:rsidRPr="00E25DD6" w:rsidRDefault="00E25DD6" w:rsidP="0024667E">
            <w:pPr>
              <w:pStyle w:val="niktext15"/>
              <w:rPr>
                <w:sz w:val="20"/>
              </w:rPr>
            </w:pPr>
            <w:r w:rsidRPr="00E25DD6">
              <w:rPr>
                <w:sz w:val="20"/>
              </w:rPr>
              <w:t>Cooper, D.J. &amp; Sherer, M.J. (1984). The value of corporate accounting reports: arguments for a political economy of accounting, Accounting, Organizations &amp; Society 9/3-4 p.207-232.</w:t>
            </w:r>
          </w:p>
        </w:tc>
      </w:tr>
      <w:tr w:rsidR="00E25DD6" w:rsidRPr="00E25DD6" w14:paraId="686BD2CB" w14:textId="77777777" w:rsidTr="00E25DD6">
        <w:trPr>
          <w:trHeight w:val="240"/>
        </w:trPr>
        <w:tc>
          <w:tcPr>
            <w:tcW w:w="9351" w:type="dxa"/>
            <w:noWrap/>
            <w:hideMark/>
          </w:tcPr>
          <w:p w14:paraId="4724C379" w14:textId="77777777" w:rsidR="00E25DD6" w:rsidRPr="00E25DD6" w:rsidRDefault="00E25DD6" w:rsidP="0024667E">
            <w:pPr>
              <w:pStyle w:val="niktext15"/>
              <w:rPr>
                <w:sz w:val="20"/>
              </w:rPr>
            </w:pPr>
            <w:r w:rsidRPr="00E25DD6">
              <w:rPr>
                <w:sz w:val="20"/>
              </w:rPr>
              <w:t>Corporate Reporting Dialogue (2014). Navigating the Corporate Reporting Landscape. London, CRD.</w:t>
            </w:r>
          </w:p>
        </w:tc>
      </w:tr>
      <w:tr w:rsidR="00E25DD6" w:rsidRPr="00E25DD6" w14:paraId="6B1BB995" w14:textId="77777777" w:rsidTr="00E25DD6">
        <w:trPr>
          <w:trHeight w:val="240"/>
        </w:trPr>
        <w:tc>
          <w:tcPr>
            <w:tcW w:w="9351" w:type="dxa"/>
            <w:noWrap/>
            <w:hideMark/>
          </w:tcPr>
          <w:p w14:paraId="2F51AB0C" w14:textId="77777777" w:rsidR="00E25DD6" w:rsidRPr="00E25DD6" w:rsidRDefault="00E25DD6" w:rsidP="0024667E">
            <w:pPr>
              <w:pStyle w:val="niktext15"/>
              <w:rPr>
                <w:sz w:val="20"/>
              </w:rPr>
            </w:pPr>
            <w:r w:rsidRPr="00E25DD6">
              <w:rPr>
                <w:sz w:val="20"/>
              </w:rPr>
              <w:lastRenderedPageBreak/>
              <w:t>Corporate Reporting Dialogue (2016). Statement of Common Principles of Materiality of the Corporate Reporting Dialogue. London, CRD.</w:t>
            </w:r>
          </w:p>
        </w:tc>
      </w:tr>
      <w:tr w:rsidR="00E25DD6" w:rsidRPr="00E25DD6" w14:paraId="4A5239A7" w14:textId="77777777" w:rsidTr="00E25DD6">
        <w:trPr>
          <w:trHeight w:val="240"/>
        </w:trPr>
        <w:tc>
          <w:tcPr>
            <w:tcW w:w="9351" w:type="dxa"/>
            <w:noWrap/>
            <w:hideMark/>
          </w:tcPr>
          <w:p w14:paraId="13EEC6ED" w14:textId="2255F9DE" w:rsidR="00E25DD6" w:rsidRPr="00E25DD6" w:rsidRDefault="00E25DD6" w:rsidP="0024667E">
            <w:pPr>
              <w:pStyle w:val="niktext15"/>
              <w:rPr>
                <w:sz w:val="20"/>
              </w:rPr>
            </w:pPr>
            <w:r w:rsidRPr="00E25DD6">
              <w:rPr>
                <w:sz w:val="20"/>
              </w:rPr>
              <w:t>Corporate Reporting Dialogue (2019). Driving alignment in climate-related reporting: year one of the better alignment project. London, IIRC.</w:t>
            </w:r>
          </w:p>
        </w:tc>
      </w:tr>
      <w:tr w:rsidR="00E25DD6" w:rsidRPr="00E25DD6" w14:paraId="472FC5D0" w14:textId="77777777" w:rsidTr="00E25DD6">
        <w:trPr>
          <w:trHeight w:val="255"/>
        </w:trPr>
        <w:tc>
          <w:tcPr>
            <w:tcW w:w="9351" w:type="dxa"/>
            <w:noWrap/>
            <w:hideMark/>
          </w:tcPr>
          <w:p w14:paraId="2F756EFE" w14:textId="580BCE27" w:rsidR="00E25DD6" w:rsidRPr="00E25DD6" w:rsidRDefault="00E25DD6" w:rsidP="0024667E">
            <w:pPr>
              <w:pStyle w:val="niktext15"/>
              <w:rPr>
                <w:sz w:val="20"/>
              </w:rPr>
            </w:pPr>
            <w:r w:rsidRPr="00E25DD6">
              <w:rPr>
                <w:sz w:val="20"/>
              </w:rPr>
              <w:t>Corporate Reporting Dialogue (2021). Corporate Reporting Dialogue dissolves, as global harmonization efforts take hold. Value Reporting Foundation, London.</w:t>
            </w:r>
          </w:p>
        </w:tc>
      </w:tr>
      <w:tr w:rsidR="00E25DD6" w:rsidRPr="00E25DD6" w14:paraId="2F784CFF" w14:textId="77777777" w:rsidTr="00E25DD6">
        <w:trPr>
          <w:trHeight w:val="255"/>
        </w:trPr>
        <w:tc>
          <w:tcPr>
            <w:tcW w:w="9351" w:type="dxa"/>
            <w:hideMark/>
          </w:tcPr>
          <w:p w14:paraId="26F8BD06" w14:textId="77777777" w:rsidR="00E25DD6" w:rsidRPr="00E25DD6" w:rsidRDefault="00E25DD6" w:rsidP="0024667E">
            <w:pPr>
              <w:pStyle w:val="niktext15"/>
              <w:rPr>
                <w:sz w:val="20"/>
              </w:rPr>
            </w:pPr>
            <w:r w:rsidRPr="00E25DD6">
              <w:rPr>
                <w:sz w:val="20"/>
              </w:rPr>
              <w:t>Cousins, J. &amp; Sikka, P. (1993). Accounting for change: facilitating power and accountability, Critical Perspectives on Accounting 4 p.53-72.</w:t>
            </w:r>
          </w:p>
        </w:tc>
      </w:tr>
      <w:tr w:rsidR="00E25DD6" w:rsidRPr="00E25DD6" w14:paraId="4F3504DD" w14:textId="77777777" w:rsidTr="00E25DD6">
        <w:trPr>
          <w:trHeight w:val="225"/>
        </w:trPr>
        <w:tc>
          <w:tcPr>
            <w:tcW w:w="9351" w:type="dxa"/>
            <w:hideMark/>
          </w:tcPr>
          <w:p w14:paraId="59C3FFB1" w14:textId="77777777" w:rsidR="00E25DD6" w:rsidRPr="00E25DD6" w:rsidRDefault="00E25DD6" w:rsidP="0024667E">
            <w:pPr>
              <w:pStyle w:val="niktext15"/>
              <w:rPr>
                <w:sz w:val="20"/>
              </w:rPr>
            </w:pPr>
            <w:r w:rsidRPr="00E25DD6">
              <w:rPr>
                <w:sz w:val="20"/>
              </w:rPr>
              <w:t>Dahl, R.A. (1984). Modern political analysis. (4th ed.). New Jersey: Prentice-Hall.</w:t>
            </w:r>
          </w:p>
        </w:tc>
      </w:tr>
      <w:tr w:rsidR="00E25DD6" w:rsidRPr="00E25DD6" w14:paraId="0F299C31" w14:textId="77777777" w:rsidTr="00E25DD6">
        <w:trPr>
          <w:trHeight w:val="255"/>
        </w:trPr>
        <w:tc>
          <w:tcPr>
            <w:tcW w:w="9351" w:type="dxa"/>
            <w:noWrap/>
            <w:hideMark/>
          </w:tcPr>
          <w:p w14:paraId="1CE4C36B" w14:textId="77777777" w:rsidR="00E25DD6" w:rsidRPr="00E25DD6" w:rsidRDefault="00E25DD6" w:rsidP="0024667E">
            <w:pPr>
              <w:pStyle w:val="niktext15"/>
              <w:rPr>
                <w:sz w:val="20"/>
              </w:rPr>
            </w:pPr>
            <w:r w:rsidRPr="00E25DD6">
              <w:rPr>
                <w:sz w:val="20"/>
              </w:rPr>
              <w:t>Durocher, S., Fortin, A. &amp; Cote, L. (2007). Users' participation in the accounting standard-setting process: a theory-building study, Accounting, Organizations &amp; Society 32, 33-63.</w:t>
            </w:r>
          </w:p>
        </w:tc>
      </w:tr>
      <w:tr w:rsidR="00E25DD6" w:rsidRPr="00E25DD6" w14:paraId="40A29C44" w14:textId="77777777" w:rsidTr="00E25DD6">
        <w:trPr>
          <w:trHeight w:val="225"/>
        </w:trPr>
        <w:tc>
          <w:tcPr>
            <w:tcW w:w="9351" w:type="dxa"/>
            <w:noWrap/>
            <w:hideMark/>
          </w:tcPr>
          <w:p w14:paraId="701DC1D9" w14:textId="77777777" w:rsidR="00E25DD6" w:rsidRPr="00E25DD6" w:rsidRDefault="00E25DD6" w:rsidP="0024667E">
            <w:pPr>
              <w:pStyle w:val="niktext15"/>
              <w:rPr>
                <w:sz w:val="20"/>
              </w:rPr>
            </w:pPr>
            <w:proofErr w:type="spellStart"/>
            <w:r w:rsidRPr="00E25DD6">
              <w:rPr>
                <w:sz w:val="20"/>
              </w:rPr>
              <w:t>Eberlein</w:t>
            </w:r>
            <w:proofErr w:type="spellEnd"/>
            <w:r w:rsidRPr="00E25DD6">
              <w:rPr>
                <w:sz w:val="20"/>
              </w:rPr>
              <w:t>, B. (2019). Who fills the global governance gap? Organization Studies, 40/8, 1125-1145.</w:t>
            </w:r>
          </w:p>
        </w:tc>
      </w:tr>
      <w:tr w:rsidR="00E25DD6" w:rsidRPr="00E25DD6" w14:paraId="7FF521F1" w14:textId="77777777" w:rsidTr="00E25DD6">
        <w:trPr>
          <w:trHeight w:val="225"/>
        </w:trPr>
        <w:tc>
          <w:tcPr>
            <w:tcW w:w="9351" w:type="dxa"/>
            <w:noWrap/>
            <w:hideMark/>
          </w:tcPr>
          <w:p w14:paraId="0DB5511B" w14:textId="77777777" w:rsidR="00E25DD6" w:rsidRPr="00E25DD6" w:rsidRDefault="00E25DD6" w:rsidP="0024667E">
            <w:pPr>
              <w:pStyle w:val="niktext15"/>
              <w:rPr>
                <w:sz w:val="20"/>
              </w:rPr>
            </w:pPr>
            <w:r w:rsidRPr="00E25DD6">
              <w:rPr>
                <w:sz w:val="20"/>
              </w:rPr>
              <w:t>Eco-Business (2019). As businesses call for harmony in sustainability reporting, standards body bosses clash in Singapore. Available at https://https://www.eco-business.com/news/as-businesses-call-for-harmony-in-sustainability-reporting-standards-body-bosses-clash-in-singapore (Accessed 18.9.19)</w:t>
            </w:r>
          </w:p>
        </w:tc>
      </w:tr>
      <w:tr w:rsidR="00E25DD6" w:rsidRPr="00E25DD6" w14:paraId="0597E51F" w14:textId="77777777" w:rsidTr="00E25DD6">
        <w:trPr>
          <w:trHeight w:val="225"/>
        </w:trPr>
        <w:tc>
          <w:tcPr>
            <w:tcW w:w="9351" w:type="dxa"/>
            <w:noWrap/>
            <w:hideMark/>
          </w:tcPr>
          <w:p w14:paraId="54882247" w14:textId="1DFE2083" w:rsidR="00E25DD6" w:rsidRPr="00E25DD6" w:rsidRDefault="00E25DD6" w:rsidP="0024667E">
            <w:pPr>
              <w:pStyle w:val="niktext15"/>
              <w:rPr>
                <w:sz w:val="20"/>
              </w:rPr>
            </w:pPr>
            <w:r w:rsidRPr="00E25DD6">
              <w:rPr>
                <w:sz w:val="20"/>
              </w:rPr>
              <w:t xml:space="preserve">Etzion, D. &amp; Ferraro, F. (2010). The role of analogy in the </w:t>
            </w:r>
            <w:proofErr w:type="spellStart"/>
            <w:r w:rsidRPr="00E25DD6">
              <w:rPr>
                <w:sz w:val="20"/>
              </w:rPr>
              <w:t>instutionalization</w:t>
            </w:r>
            <w:proofErr w:type="spellEnd"/>
            <w:r w:rsidRPr="00E25DD6">
              <w:rPr>
                <w:sz w:val="20"/>
              </w:rPr>
              <w:t xml:space="preserve"> of sustainability reporting. Organisation Science, 21/5, 1092-1107.</w:t>
            </w:r>
          </w:p>
        </w:tc>
      </w:tr>
      <w:tr w:rsidR="00E25DD6" w:rsidRPr="00E25DD6" w14:paraId="36C96643" w14:textId="77777777" w:rsidTr="00E25DD6">
        <w:trPr>
          <w:trHeight w:val="240"/>
        </w:trPr>
        <w:tc>
          <w:tcPr>
            <w:tcW w:w="9351" w:type="dxa"/>
            <w:noWrap/>
            <w:hideMark/>
          </w:tcPr>
          <w:p w14:paraId="699FE963" w14:textId="77777777" w:rsidR="00E25DD6" w:rsidRPr="00E25DD6" w:rsidRDefault="00E25DD6" w:rsidP="0024667E">
            <w:pPr>
              <w:pStyle w:val="niktext15"/>
              <w:rPr>
                <w:sz w:val="20"/>
              </w:rPr>
            </w:pPr>
            <w:proofErr w:type="spellStart"/>
            <w:r w:rsidRPr="00E25DD6">
              <w:rPr>
                <w:sz w:val="20"/>
              </w:rPr>
              <w:t>Eumedion</w:t>
            </w:r>
            <w:proofErr w:type="spellEnd"/>
            <w:r w:rsidRPr="00E25DD6">
              <w:rPr>
                <w:sz w:val="20"/>
              </w:rPr>
              <w:t xml:space="preserve"> (2019). Towards a global standard setter for non-financial reporting. </w:t>
            </w:r>
            <w:proofErr w:type="spellStart"/>
            <w:r w:rsidRPr="00E25DD6">
              <w:rPr>
                <w:sz w:val="20"/>
              </w:rPr>
              <w:t>Eumedion</w:t>
            </w:r>
            <w:proofErr w:type="spellEnd"/>
            <w:r w:rsidRPr="00E25DD6">
              <w:rPr>
                <w:sz w:val="20"/>
              </w:rPr>
              <w:t>.</w:t>
            </w:r>
          </w:p>
        </w:tc>
      </w:tr>
      <w:tr w:rsidR="00E25DD6" w:rsidRPr="00E25DD6" w14:paraId="409BD2DE" w14:textId="77777777" w:rsidTr="00E25DD6">
        <w:trPr>
          <w:trHeight w:val="240"/>
        </w:trPr>
        <w:tc>
          <w:tcPr>
            <w:tcW w:w="9351" w:type="dxa"/>
            <w:noWrap/>
            <w:hideMark/>
          </w:tcPr>
          <w:p w14:paraId="274C9924" w14:textId="77777777" w:rsidR="00E25DD6" w:rsidRPr="00E25DD6" w:rsidRDefault="00E25DD6" w:rsidP="0024667E">
            <w:pPr>
              <w:pStyle w:val="niktext15"/>
              <w:rPr>
                <w:sz w:val="20"/>
              </w:rPr>
            </w:pPr>
            <w:proofErr w:type="spellStart"/>
            <w:r w:rsidRPr="00E25DD6">
              <w:rPr>
                <w:sz w:val="20"/>
              </w:rPr>
              <w:t>Farjaudon</w:t>
            </w:r>
            <w:proofErr w:type="spellEnd"/>
            <w:r w:rsidRPr="00E25DD6">
              <w:rPr>
                <w:sz w:val="20"/>
              </w:rPr>
              <w:t>, A-L. &amp; Morales, J. (2013). In search of consensus: the role of accounting in the definition and reproduction of dominant interests, Accounting, Organizations &amp; Society 24, 154-171.</w:t>
            </w:r>
          </w:p>
        </w:tc>
      </w:tr>
      <w:tr w:rsidR="00E25DD6" w:rsidRPr="00E25DD6" w14:paraId="574C945A" w14:textId="77777777" w:rsidTr="00E25DD6">
        <w:trPr>
          <w:trHeight w:val="240"/>
        </w:trPr>
        <w:tc>
          <w:tcPr>
            <w:tcW w:w="9351" w:type="dxa"/>
            <w:noWrap/>
            <w:hideMark/>
          </w:tcPr>
          <w:p w14:paraId="471DA4EB" w14:textId="372B9B52" w:rsidR="00E25DD6" w:rsidRPr="00E25DD6" w:rsidRDefault="00E25DD6" w:rsidP="0024667E">
            <w:pPr>
              <w:pStyle w:val="niktext15"/>
              <w:rPr>
                <w:sz w:val="20"/>
              </w:rPr>
            </w:pPr>
            <w:r w:rsidRPr="00E25DD6">
              <w:rPr>
                <w:sz w:val="20"/>
              </w:rPr>
              <w:t>FEE (2015). The future of corporate reporting. Brussels, FEE.</w:t>
            </w:r>
          </w:p>
        </w:tc>
      </w:tr>
      <w:tr w:rsidR="00E25DD6" w:rsidRPr="00E25DD6" w14:paraId="392E2808" w14:textId="77777777" w:rsidTr="00E25DD6">
        <w:trPr>
          <w:trHeight w:val="240"/>
        </w:trPr>
        <w:tc>
          <w:tcPr>
            <w:tcW w:w="9351" w:type="dxa"/>
            <w:noWrap/>
            <w:hideMark/>
          </w:tcPr>
          <w:p w14:paraId="5C6210DF" w14:textId="77777777" w:rsidR="00E25DD6" w:rsidRPr="00E25DD6" w:rsidRDefault="00E25DD6" w:rsidP="0024667E">
            <w:pPr>
              <w:pStyle w:val="niktext15"/>
              <w:rPr>
                <w:sz w:val="20"/>
              </w:rPr>
            </w:pPr>
            <w:proofErr w:type="spellStart"/>
            <w:r w:rsidRPr="00E25DD6">
              <w:rPr>
                <w:sz w:val="20"/>
              </w:rPr>
              <w:t>Fischoff</w:t>
            </w:r>
            <w:proofErr w:type="spellEnd"/>
            <w:r w:rsidRPr="00E25DD6">
              <w:rPr>
                <w:sz w:val="20"/>
              </w:rPr>
              <w:t>, B. (1984). Setting standards, Management Science 30(7), 823-843.</w:t>
            </w:r>
          </w:p>
        </w:tc>
      </w:tr>
      <w:tr w:rsidR="00E25DD6" w:rsidRPr="00E25DD6" w14:paraId="285C27C5" w14:textId="77777777" w:rsidTr="00E25DD6">
        <w:trPr>
          <w:trHeight w:val="240"/>
        </w:trPr>
        <w:tc>
          <w:tcPr>
            <w:tcW w:w="9351" w:type="dxa"/>
            <w:noWrap/>
            <w:hideMark/>
          </w:tcPr>
          <w:p w14:paraId="5777C20C" w14:textId="77777777" w:rsidR="00E25DD6" w:rsidRPr="00E25DD6" w:rsidRDefault="00E25DD6" w:rsidP="0024667E">
            <w:pPr>
              <w:pStyle w:val="niktext15"/>
              <w:rPr>
                <w:sz w:val="20"/>
              </w:rPr>
            </w:pPr>
            <w:r w:rsidRPr="00E25DD6">
              <w:rPr>
                <w:sz w:val="20"/>
              </w:rPr>
              <w:t>Fleming, P. &amp; Spicer, A. (2014). Power in management and organization science, The Academy of Management Annals 8/1, 237-298.</w:t>
            </w:r>
          </w:p>
        </w:tc>
      </w:tr>
      <w:tr w:rsidR="00E25DD6" w:rsidRPr="00E25DD6" w14:paraId="158D61C7" w14:textId="77777777" w:rsidTr="00E25DD6">
        <w:trPr>
          <w:trHeight w:val="225"/>
        </w:trPr>
        <w:tc>
          <w:tcPr>
            <w:tcW w:w="9351" w:type="dxa"/>
            <w:noWrap/>
            <w:hideMark/>
          </w:tcPr>
          <w:p w14:paraId="17543BF8" w14:textId="77777777" w:rsidR="00E25DD6" w:rsidRPr="00E25DD6" w:rsidRDefault="00E25DD6" w:rsidP="0024667E">
            <w:pPr>
              <w:pStyle w:val="niktext15"/>
              <w:rPr>
                <w:sz w:val="20"/>
              </w:rPr>
            </w:pPr>
            <w:proofErr w:type="spellStart"/>
            <w:r w:rsidRPr="00E25DD6">
              <w:rPr>
                <w:sz w:val="20"/>
              </w:rPr>
              <w:t>Fransen</w:t>
            </w:r>
            <w:proofErr w:type="spellEnd"/>
            <w:r w:rsidRPr="00E25DD6">
              <w:rPr>
                <w:sz w:val="20"/>
              </w:rPr>
              <w:t>, L.W. &amp; Kolk, A. (2007). Global rule-setting for business: a critical analysis of multi-stakeholder standards, Organization, 14/5, 667-684.</w:t>
            </w:r>
          </w:p>
        </w:tc>
      </w:tr>
      <w:tr w:rsidR="00E25DD6" w:rsidRPr="00E25DD6" w14:paraId="465355D1" w14:textId="77777777" w:rsidTr="00E25DD6">
        <w:trPr>
          <w:trHeight w:val="255"/>
        </w:trPr>
        <w:tc>
          <w:tcPr>
            <w:tcW w:w="9351" w:type="dxa"/>
            <w:noWrap/>
            <w:hideMark/>
          </w:tcPr>
          <w:p w14:paraId="5324D02E" w14:textId="77777777" w:rsidR="00E25DD6" w:rsidRPr="00E25DD6" w:rsidRDefault="00E25DD6" w:rsidP="0024667E">
            <w:pPr>
              <w:pStyle w:val="niktext15"/>
              <w:rPr>
                <w:sz w:val="20"/>
              </w:rPr>
            </w:pPr>
            <w:proofErr w:type="spellStart"/>
            <w:r w:rsidRPr="00E25DD6">
              <w:rPr>
                <w:sz w:val="20"/>
              </w:rPr>
              <w:t>Gioia</w:t>
            </w:r>
            <w:proofErr w:type="spellEnd"/>
            <w:r w:rsidRPr="00E25DD6">
              <w:rPr>
                <w:sz w:val="20"/>
              </w:rPr>
              <w:t>, D.A., Corley, K.G. &amp; Hamilton, A.L. (2012). Seeking qualitative rigor in inductive research. Organizational Research Methods, 16/1, 15-31.</w:t>
            </w:r>
          </w:p>
        </w:tc>
      </w:tr>
      <w:tr w:rsidR="00E25DD6" w:rsidRPr="00E25DD6" w14:paraId="654D5005" w14:textId="77777777" w:rsidTr="00E25DD6">
        <w:trPr>
          <w:trHeight w:val="225"/>
        </w:trPr>
        <w:tc>
          <w:tcPr>
            <w:tcW w:w="9351" w:type="dxa"/>
            <w:noWrap/>
            <w:hideMark/>
          </w:tcPr>
          <w:p w14:paraId="331C71FA" w14:textId="77777777" w:rsidR="00E25DD6" w:rsidRPr="00E25DD6" w:rsidRDefault="00E25DD6" w:rsidP="0024667E">
            <w:pPr>
              <w:pStyle w:val="niktext15"/>
              <w:rPr>
                <w:sz w:val="20"/>
              </w:rPr>
            </w:pPr>
            <w:r w:rsidRPr="00E25DD6">
              <w:rPr>
                <w:sz w:val="20"/>
              </w:rPr>
              <w:t>Gordon, D.J. &amp; Johnson, C.A. (2017). The orchestration of global urban climate governance: conducting power in the post-Paris climate regime, Environmental Politics, 26/4, 694-714.</w:t>
            </w:r>
          </w:p>
        </w:tc>
      </w:tr>
      <w:tr w:rsidR="00E25DD6" w:rsidRPr="00E25DD6" w14:paraId="07E61300" w14:textId="77777777" w:rsidTr="00E25DD6">
        <w:trPr>
          <w:trHeight w:val="255"/>
        </w:trPr>
        <w:tc>
          <w:tcPr>
            <w:tcW w:w="9351" w:type="dxa"/>
            <w:hideMark/>
          </w:tcPr>
          <w:p w14:paraId="45C09377" w14:textId="77777777" w:rsidR="00E25DD6" w:rsidRPr="00E25DD6" w:rsidRDefault="00E25DD6" w:rsidP="0024667E">
            <w:pPr>
              <w:pStyle w:val="niktext15"/>
              <w:rPr>
                <w:sz w:val="20"/>
              </w:rPr>
            </w:pPr>
            <w:r w:rsidRPr="00E25DD6">
              <w:rPr>
                <w:sz w:val="20"/>
              </w:rPr>
              <w:t xml:space="preserve">Gray, R., </w:t>
            </w:r>
            <w:proofErr w:type="spellStart"/>
            <w:r w:rsidRPr="00E25DD6">
              <w:rPr>
                <w:sz w:val="20"/>
              </w:rPr>
              <w:t>Kouhy</w:t>
            </w:r>
            <w:proofErr w:type="spellEnd"/>
            <w:r w:rsidRPr="00E25DD6">
              <w:rPr>
                <w:sz w:val="20"/>
              </w:rPr>
              <w:t>, R. &amp; Lavers, S. (1995). Corporate Social and Environmental Reporting. Accounting, Auditing and Accountability Journal, 8/2, 47-77.</w:t>
            </w:r>
          </w:p>
        </w:tc>
      </w:tr>
      <w:tr w:rsidR="00E25DD6" w:rsidRPr="00E25DD6" w14:paraId="4086E1A3" w14:textId="77777777" w:rsidTr="00E25DD6">
        <w:trPr>
          <w:trHeight w:val="225"/>
        </w:trPr>
        <w:tc>
          <w:tcPr>
            <w:tcW w:w="9351" w:type="dxa"/>
            <w:noWrap/>
            <w:hideMark/>
          </w:tcPr>
          <w:p w14:paraId="0FEE357E" w14:textId="77777777" w:rsidR="00E25DD6" w:rsidRPr="00E25DD6" w:rsidRDefault="00E25DD6" w:rsidP="0024667E">
            <w:pPr>
              <w:pStyle w:val="niktext15"/>
              <w:rPr>
                <w:sz w:val="20"/>
              </w:rPr>
            </w:pPr>
            <w:r w:rsidRPr="00E25DD6">
              <w:rPr>
                <w:sz w:val="20"/>
              </w:rPr>
              <w:t xml:space="preserve">Green, H. (2017). The Green Machine: Bloomberg's Curtis </w:t>
            </w:r>
            <w:proofErr w:type="spellStart"/>
            <w:r w:rsidRPr="00E25DD6">
              <w:rPr>
                <w:sz w:val="20"/>
              </w:rPr>
              <w:t>Ravenel</w:t>
            </w:r>
            <w:proofErr w:type="spellEnd"/>
            <w:r w:rsidRPr="00E25DD6">
              <w:rPr>
                <w:sz w:val="20"/>
              </w:rPr>
              <w:t xml:space="preserve"> on Environmental Economics. Available at https:/www.ibm.com/blogs/insights-on-business/ibmix/green-machine (Accessed 20.6.19)</w:t>
            </w:r>
          </w:p>
        </w:tc>
      </w:tr>
      <w:tr w:rsidR="00E25DD6" w:rsidRPr="00E25DD6" w14:paraId="7C4109AB" w14:textId="77777777" w:rsidTr="00E25DD6">
        <w:trPr>
          <w:trHeight w:val="225"/>
        </w:trPr>
        <w:tc>
          <w:tcPr>
            <w:tcW w:w="9351" w:type="dxa"/>
            <w:noWrap/>
            <w:hideMark/>
          </w:tcPr>
          <w:p w14:paraId="1F6EE482" w14:textId="06587E80" w:rsidR="00E25DD6" w:rsidRPr="00E25DD6" w:rsidRDefault="00E25DD6" w:rsidP="0024667E">
            <w:pPr>
              <w:pStyle w:val="niktext15"/>
              <w:rPr>
                <w:sz w:val="20"/>
              </w:rPr>
            </w:pPr>
            <w:proofErr w:type="spellStart"/>
            <w:r w:rsidRPr="00E25DD6">
              <w:rPr>
                <w:sz w:val="20"/>
              </w:rPr>
              <w:t>Mohin</w:t>
            </w:r>
            <w:proofErr w:type="spellEnd"/>
            <w:r w:rsidRPr="00E25DD6">
              <w:rPr>
                <w:sz w:val="20"/>
              </w:rPr>
              <w:t>, T. (2019). It's time for business leaders to take off the blinders. GRI.</w:t>
            </w:r>
          </w:p>
        </w:tc>
      </w:tr>
      <w:tr w:rsidR="00E25DD6" w:rsidRPr="00E25DD6" w14:paraId="6AA6EBD7" w14:textId="77777777" w:rsidTr="00E25DD6">
        <w:trPr>
          <w:trHeight w:val="225"/>
        </w:trPr>
        <w:tc>
          <w:tcPr>
            <w:tcW w:w="9351" w:type="dxa"/>
            <w:noWrap/>
            <w:hideMark/>
          </w:tcPr>
          <w:p w14:paraId="7BBF081B" w14:textId="77777777" w:rsidR="00E25DD6" w:rsidRPr="00E25DD6" w:rsidRDefault="00E25DD6" w:rsidP="0024667E">
            <w:pPr>
              <w:pStyle w:val="niktext15"/>
              <w:rPr>
                <w:sz w:val="20"/>
              </w:rPr>
            </w:pPr>
            <w:r w:rsidRPr="00E25DD6">
              <w:rPr>
                <w:sz w:val="20"/>
              </w:rPr>
              <w:t xml:space="preserve">Gross, T. &amp; </w:t>
            </w:r>
            <w:proofErr w:type="spellStart"/>
            <w:r w:rsidRPr="00E25DD6">
              <w:rPr>
                <w:sz w:val="20"/>
              </w:rPr>
              <w:t>Zilber</w:t>
            </w:r>
            <w:proofErr w:type="spellEnd"/>
            <w:r w:rsidRPr="00E25DD6">
              <w:rPr>
                <w:sz w:val="20"/>
              </w:rPr>
              <w:t>, T.B. (2020). Power dynamics in field-level events: a narrative approach, Organizational Studies, 41/10, 1369-1390.</w:t>
            </w:r>
          </w:p>
        </w:tc>
      </w:tr>
      <w:tr w:rsidR="00E25DD6" w:rsidRPr="00E25DD6" w14:paraId="119A0557" w14:textId="77777777" w:rsidTr="00E25DD6">
        <w:trPr>
          <w:trHeight w:val="225"/>
        </w:trPr>
        <w:tc>
          <w:tcPr>
            <w:tcW w:w="9351" w:type="dxa"/>
            <w:noWrap/>
            <w:hideMark/>
          </w:tcPr>
          <w:p w14:paraId="7E5803E3" w14:textId="77777777" w:rsidR="00E25DD6" w:rsidRPr="00E25DD6" w:rsidRDefault="00E25DD6" w:rsidP="0024667E">
            <w:pPr>
              <w:pStyle w:val="niktext15"/>
              <w:rPr>
                <w:sz w:val="20"/>
              </w:rPr>
            </w:pPr>
            <w:r w:rsidRPr="00E25DD6">
              <w:rPr>
                <w:sz w:val="20"/>
              </w:rPr>
              <w:lastRenderedPageBreak/>
              <w:t>Guest, G., Bunce, A. &amp; Johnson, L. (2006). How many interviews are enough? An experiment with data saturation and variability, Field Methods, 18/1, 59-82.</w:t>
            </w:r>
          </w:p>
        </w:tc>
      </w:tr>
      <w:tr w:rsidR="00E25DD6" w:rsidRPr="00E25DD6" w14:paraId="7D2F6B67" w14:textId="77777777" w:rsidTr="00E25DD6">
        <w:trPr>
          <w:trHeight w:val="225"/>
        </w:trPr>
        <w:tc>
          <w:tcPr>
            <w:tcW w:w="9351" w:type="dxa"/>
            <w:noWrap/>
            <w:hideMark/>
          </w:tcPr>
          <w:p w14:paraId="0BE22198" w14:textId="77777777" w:rsidR="00E25DD6" w:rsidRPr="00E25DD6" w:rsidRDefault="00E25DD6" w:rsidP="0024667E">
            <w:pPr>
              <w:pStyle w:val="niktext15"/>
              <w:rPr>
                <w:sz w:val="20"/>
              </w:rPr>
            </w:pPr>
            <w:r w:rsidRPr="00E25DD6">
              <w:rPr>
                <w:sz w:val="20"/>
              </w:rPr>
              <w:t>Guthrie, L. (2016). Mapping the Sustainability Reporting Landscape. London, ACCA.</w:t>
            </w:r>
          </w:p>
        </w:tc>
      </w:tr>
      <w:tr w:rsidR="00E25DD6" w:rsidRPr="00E25DD6" w14:paraId="40760091" w14:textId="77777777" w:rsidTr="00E25DD6">
        <w:trPr>
          <w:trHeight w:val="240"/>
        </w:trPr>
        <w:tc>
          <w:tcPr>
            <w:tcW w:w="9351" w:type="dxa"/>
            <w:noWrap/>
            <w:hideMark/>
          </w:tcPr>
          <w:p w14:paraId="4E2A1BB6" w14:textId="77777777" w:rsidR="00E25DD6" w:rsidRPr="00E25DD6" w:rsidRDefault="00E25DD6" w:rsidP="0024667E">
            <w:pPr>
              <w:pStyle w:val="niktext15"/>
              <w:rPr>
                <w:sz w:val="20"/>
              </w:rPr>
            </w:pPr>
            <w:r w:rsidRPr="00E25DD6">
              <w:rPr>
                <w:sz w:val="20"/>
              </w:rPr>
              <w:t xml:space="preserve">Hallstrom, K.T. (2000). Organizing the process of standardization. In </w:t>
            </w:r>
            <w:proofErr w:type="spellStart"/>
            <w:r w:rsidRPr="00E25DD6">
              <w:rPr>
                <w:sz w:val="20"/>
              </w:rPr>
              <w:t>Brunsson</w:t>
            </w:r>
            <w:proofErr w:type="spellEnd"/>
            <w:r w:rsidRPr="00E25DD6">
              <w:rPr>
                <w:sz w:val="20"/>
              </w:rPr>
              <w:t xml:space="preserve">, N. &amp; </w:t>
            </w:r>
            <w:proofErr w:type="spellStart"/>
            <w:r w:rsidRPr="00E25DD6">
              <w:rPr>
                <w:sz w:val="20"/>
              </w:rPr>
              <w:t>Jacobsson</w:t>
            </w:r>
            <w:proofErr w:type="spellEnd"/>
            <w:r w:rsidRPr="00E25DD6">
              <w:rPr>
                <w:sz w:val="20"/>
              </w:rPr>
              <w:t>, B. (Ed.), A World of Standards (pp85-99). Oxford: OUP.</w:t>
            </w:r>
          </w:p>
        </w:tc>
      </w:tr>
      <w:tr w:rsidR="00E25DD6" w:rsidRPr="00E25DD6" w14:paraId="21A12E07" w14:textId="77777777" w:rsidTr="00E25DD6">
        <w:trPr>
          <w:trHeight w:val="225"/>
        </w:trPr>
        <w:tc>
          <w:tcPr>
            <w:tcW w:w="9351" w:type="dxa"/>
            <w:noWrap/>
            <w:hideMark/>
          </w:tcPr>
          <w:p w14:paraId="1548B700" w14:textId="77777777" w:rsidR="00E25DD6" w:rsidRPr="00E25DD6" w:rsidRDefault="00E25DD6" w:rsidP="0024667E">
            <w:pPr>
              <w:pStyle w:val="niktext15"/>
              <w:rPr>
                <w:sz w:val="20"/>
              </w:rPr>
            </w:pPr>
            <w:r w:rsidRPr="00E25DD6">
              <w:rPr>
                <w:sz w:val="20"/>
              </w:rPr>
              <w:t xml:space="preserve">Henning, R. (2000). Selling standards. In </w:t>
            </w:r>
            <w:proofErr w:type="spellStart"/>
            <w:r w:rsidRPr="00E25DD6">
              <w:rPr>
                <w:sz w:val="20"/>
              </w:rPr>
              <w:t>Brunsson</w:t>
            </w:r>
            <w:proofErr w:type="spellEnd"/>
            <w:r w:rsidRPr="00E25DD6">
              <w:rPr>
                <w:sz w:val="20"/>
              </w:rPr>
              <w:t xml:space="preserve">, N. &amp; </w:t>
            </w:r>
            <w:proofErr w:type="spellStart"/>
            <w:r w:rsidRPr="00E25DD6">
              <w:rPr>
                <w:sz w:val="20"/>
              </w:rPr>
              <w:t>Jacobsson</w:t>
            </w:r>
            <w:proofErr w:type="spellEnd"/>
            <w:r w:rsidRPr="00E25DD6">
              <w:rPr>
                <w:sz w:val="20"/>
              </w:rPr>
              <w:t>, B. (Ed.), A World of Standards (pp127-137). Oxford: OUP.</w:t>
            </w:r>
          </w:p>
        </w:tc>
      </w:tr>
      <w:tr w:rsidR="00E25DD6" w:rsidRPr="00E25DD6" w14:paraId="5D6692C4" w14:textId="77777777" w:rsidTr="00E25DD6">
        <w:trPr>
          <w:trHeight w:val="225"/>
        </w:trPr>
        <w:tc>
          <w:tcPr>
            <w:tcW w:w="9351" w:type="dxa"/>
            <w:noWrap/>
            <w:hideMark/>
          </w:tcPr>
          <w:p w14:paraId="3611A152" w14:textId="77777777" w:rsidR="00E25DD6" w:rsidRPr="00E25DD6" w:rsidRDefault="00E25DD6" w:rsidP="0024667E">
            <w:pPr>
              <w:pStyle w:val="niktext15"/>
              <w:rPr>
                <w:sz w:val="20"/>
              </w:rPr>
            </w:pPr>
            <w:r w:rsidRPr="00E25DD6">
              <w:rPr>
                <w:sz w:val="20"/>
              </w:rPr>
              <w:t>Higgins, W. &amp; Hallström, K.T. (2007). Standardization, globalization and rationalities of government, Organization, 14/5, 685-704.</w:t>
            </w:r>
          </w:p>
        </w:tc>
      </w:tr>
      <w:tr w:rsidR="00E25DD6" w:rsidRPr="00E25DD6" w14:paraId="7B01AB64" w14:textId="77777777" w:rsidTr="00E25DD6">
        <w:trPr>
          <w:trHeight w:val="255"/>
        </w:trPr>
        <w:tc>
          <w:tcPr>
            <w:tcW w:w="9351" w:type="dxa"/>
            <w:hideMark/>
          </w:tcPr>
          <w:p w14:paraId="6FDC8C5C" w14:textId="77777777" w:rsidR="00E25DD6" w:rsidRPr="00E25DD6" w:rsidRDefault="00E25DD6" w:rsidP="0024667E">
            <w:pPr>
              <w:pStyle w:val="niktext15"/>
              <w:rPr>
                <w:sz w:val="20"/>
              </w:rPr>
            </w:pPr>
            <w:r w:rsidRPr="00E25DD6">
              <w:rPr>
                <w:sz w:val="20"/>
              </w:rPr>
              <w:t>Hope, T. &amp; Gray, R. (1982). Power and policy making: the development of an R&amp;D standard, Journal of Business Finance &amp; Accounting 9/4 p.531-558.</w:t>
            </w:r>
          </w:p>
        </w:tc>
      </w:tr>
      <w:tr w:rsidR="00E25DD6" w:rsidRPr="00E25DD6" w14:paraId="07717736" w14:textId="77777777" w:rsidTr="00E25DD6">
        <w:trPr>
          <w:trHeight w:val="240"/>
        </w:trPr>
        <w:tc>
          <w:tcPr>
            <w:tcW w:w="9351" w:type="dxa"/>
            <w:noWrap/>
            <w:hideMark/>
          </w:tcPr>
          <w:p w14:paraId="7EF49127" w14:textId="77777777" w:rsidR="00E25DD6" w:rsidRPr="00E25DD6" w:rsidRDefault="00E25DD6" w:rsidP="0024667E">
            <w:pPr>
              <w:pStyle w:val="niktext15"/>
              <w:rPr>
                <w:sz w:val="20"/>
              </w:rPr>
            </w:pPr>
            <w:r w:rsidRPr="00E25DD6">
              <w:rPr>
                <w:sz w:val="20"/>
              </w:rPr>
              <w:t xml:space="preserve">Humphrey, C., </w:t>
            </w:r>
            <w:proofErr w:type="spellStart"/>
            <w:r w:rsidRPr="00E25DD6">
              <w:rPr>
                <w:sz w:val="20"/>
              </w:rPr>
              <w:t>O'Dwyer</w:t>
            </w:r>
            <w:proofErr w:type="spellEnd"/>
            <w:r w:rsidRPr="00E25DD6">
              <w:rPr>
                <w:sz w:val="20"/>
              </w:rPr>
              <w:t xml:space="preserve">, B. &amp; </w:t>
            </w:r>
            <w:proofErr w:type="spellStart"/>
            <w:r w:rsidRPr="00E25DD6">
              <w:rPr>
                <w:sz w:val="20"/>
              </w:rPr>
              <w:t>Unerman</w:t>
            </w:r>
            <w:proofErr w:type="spellEnd"/>
            <w:r w:rsidRPr="00E25DD6">
              <w:rPr>
                <w:sz w:val="20"/>
              </w:rPr>
              <w:t>, J. (2017). Re-theorizing the configuration of organizational fields: the IIRC and the pursuit of 'Enlightened corporate reporting', Accounting &amp; Business Research 47/1, 30-63.</w:t>
            </w:r>
          </w:p>
        </w:tc>
      </w:tr>
      <w:tr w:rsidR="00E25DD6" w:rsidRPr="00E25DD6" w14:paraId="7A19ABE9" w14:textId="77777777" w:rsidTr="00E25DD6">
        <w:trPr>
          <w:trHeight w:val="240"/>
        </w:trPr>
        <w:tc>
          <w:tcPr>
            <w:tcW w:w="9351" w:type="dxa"/>
            <w:noWrap/>
            <w:hideMark/>
          </w:tcPr>
          <w:p w14:paraId="7057F9DE" w14:textId="77777777" w:rsidR="00E25DD6" w:rsidRPr="00E25DD6" w:rsidRDefault="00E25DD6" w:rsidP="0024667E">
            <w:pPr>
              <w:pStyle w:val="niktext15"/>
              <w:rPr>
                <w:sz w:val="20"/>
              </w:rPr>
            </w:pPr>
            <w:r w:rsidRPr="00E25DD6">
              <w:rPr>
                <w:sz w:val="20"/>
              </w:rPr>
              <w:t>IASB (2017a). Wider corporate reporting: agenda proposal to revise and update the Management Commentary Practice Statement. London: IFRS Foundation.</w:t>
            </w:r>
          </w:p>
        </w:tc>
      </w:tr>
      <w:tr w:rsidR="00E25DD6" w:rsidRPr="00E25DD6" w14:paraId="416530E8" w14:textId="77777777" w:rsidTr="00E25DD6">
        <w:trPr>
          <w:trHeight w:val="240"/>
        </w:trPr>
        <w:tc>
          <w:tcPr>
            <w:tcW w:w="9351" w:type="dxa"/>
            <w:noWrap/>
            <w:hideMark/>
          </w:tcPr>
          <w:p w14:paraId="7EBD5B51" w14:textId="77777777" w:rsidR="00E25DD6" w:rsidRPr="00E25DD6" w:rsidRDefault="00E25DD6" w:rsidP="0024667E">
            <w:pPr>
              <w:pStyle w:val="niktext15"/>
              <w:rPr>
                <w:sz w:val="20"/>
              </w:rPr>
            </w:pPr>
            <w:r w:rsidRPr="00E25DD6">
              <w:rPr>
                <w:sz w:val="20"/>
              </w:rPr>
              <w:t>IASB (2017b). Wider corporate reporting: an update on developments. London: IFRS Foundation.</w:t>
            </w:r>
          </w:p>
        </w:tc>
      </w:tr>
      <w:tr w:rsidR="00E25DD6" w:rsidRPr="00E25DD6" w14:paraId="278CCC15" w14:textId="77777777" w:rsidTr="00E25DD6">
        <w:trPr>
          <w:trHeight w:val="240"/>
        </w:trPr>
        <w:tc>
          <w:tcPr>
            <w:tcW w:w="9351" w:type="dxa"/>
            <w:noWrap/>
            <w:hideMark/>
          </w:tcPr>
          <w:p w14:paraId="6775A6CC" w14:textId="77777777" w:rsidR="00E25DD6" w:rsidRPr="00E25DD6" w:rsidRDefault="00E25DD6" w:rsidP="0024667E">
            <w:pPr>
              <w:pStyle w:val="niktext15"/>
              <w:rPr>
                <w:sz w:val="20"/>
              </w:rPr>
            </w:pPr>
            <w:r w:rsidRPr="00E25DD6">
              <w:rPr>
                <w:sz w:val="20"/>
              </w:rPr>
              <w:t>IFAC (2013). Enhancing organizational reporting. New York: IFAC.</w:t>
            </w:r>
          </w:p>
        </w:tc>
      </w:tr>
      <w:tr w:rsidR="00E25DD6" w:rsidRPr="00E25DD6" w14:paraId="529F866A" w14:textId="77777777" w:rsidTr="00E25DD6">
        <w:trPr>
          <w:trHeight w:val="240"/>
        </w:trPr>
        <w:tc>
          <w:tcPr>
            <w:tcW w:w="9351" w:type="dxa"/>
            <w:noWrap/>
            <w:hideMark/>
          </w:tcPr>
          <w:p w14:paraId="02780D36" w14:textId="77777777" w:rsidR="00E25DD6" w:rsidRPr="00E25DD6" w:rsidRDefault="00E25DD6" w:rsidP="0024667E">
            <w:pPr>
              <w:pStyle w:val="niktext15"/>
              <w:rPr>
                <w:sz w:val="20"/>
              </w:rPr>
            </w:pPr>
            <w:r w:rsidRPr="00E25DD6">
              <w:rPr>
                <w:sz w:val="20"/>
              </w:rPr>
              <w:t>IFAC (2017). Enhancing organizational reporting. New York: IFAC.</w:t>
            </w:r>
          </w:p>
        </w:tc>
      </w:tr>
      <w:tr w:rsidR="00E25DD6" w:rsidRPr="00E25DD6" w14:paraId="6BFDC8E9" w14:textId="77777777" w:rsidTr="00E25DD6">
        <w:trPr>
          <w:trHeight w:val="240"/>
        </w:trPr>
        <w:tc>
          <w:tcPr>
            <w:tcW w:w="9351" w:type="dxa"/>
            <w:noWrap/>
          </w:tcPr>
          <w:p w14:paraId="33E825C5" w14:textId="55019D8B" w:rsidR="00E25DD6" w:rsidRPr="00E25DD6" w:rsidRDefault="00E25DD6" w:rsidP="00B45A15">
            <w:pPr>
              <w:pStyle w:val="niktext15"/>
              <w:rPr>
                <w:sz w:val="20"/>
              </w:rPr>
            </w:pPr>
            <w:r w:rsidRPr="00E25DD6">
              <w:rPr>
                <w:sz w:val="20"/>
              </w:rPr>
              <w:t>IFAC (2020). Enhancing corporate reporting: the way forward. IFAC.</w:t>
            </w:r>
          </w:p>
        </w:tc>
      </w:tr>
      <w:tr w:rsidR="00E25DD6" w:rsidRPr="00E25DD6" w14:paraId="7BF5BEA6" w14:textId="77777777" w:rsidTr="00E25DD6">
        <w:trPr>
          <w:trHeight w:val="240"/>
        </w:trPr>
        <w:tc>
          <w:tcPr>
            <w:tcW w:w="9351" w:type="dxa"/>
            <w:noWrap/>
            <w:hideMark/>
          </w:tcPr>
          <w:p w14:paraId="5A07E554" w14:textId="77777777" w:rsidR="00E25DD6" w:rsidRPr="00E25DD6" w:rsidRDefault="00E25DD6" w:rsidP="0024667E">
            <w:pPr>
              <w:pStyle w:val="niktext15"/>
              <w:rPr>
                <w:sz w:val="20"/>
              </w:rPr>
            </w:pPr>
            <w:r w:rsidRPr="00E25DD6">
              <w:rPr>
                <w:sz w:val="20"/>
              </w:rPr>
              <w:t>IFRSF (2012). IFRSs as the global standards: setting a strategy for the Foundation's second decade. Report of the IFRS Foundation Trustees' Strategy Review 2011. London: IFRSF.</w:t>
            </w:r>
          </w:p>
        </w:tc>
      </w:tr>
      <w:tr w:rsidR="00E25DD6" w:rsidRPr="00E25DD6" w14:paraId="739AD987" w14:textId="77777777" w:rsidTr="00E25DD6">
        <w:trPr>
          <w:trHeight w:val="240"/>
        </w:trPr>
        <w:tc>
          <w:tcPr>
            <w:tcW w:w="9351" w:type="dxa"/>
            <w:noWrap/>
            <w:hideMark/>
          </w:tcPr>
          <w:p w14:paraId="194127A6" w14:textId="77777777" w:rsidR="00E25DD6" w:rsidRPr="00E25DD6" w:rsidRDefault="00E25DD6" w:rsidP="0024667E">
            <w:pPr>
              <w:pStyle w:val="niktext15"/>
              <w:rPr>
                <w:sz w:val="20"/>
              </w:rPr>
            </w:pPr>
            <w:r w:rsidRPr="00E25DD6">
              <w:rPr>
                <w:sz w:val="20"/>
              </w:rPr>
              <w:t>IFRSF (2020). Consultation paper on sustainability reporting. London, IFRSF.</w:t>
            </w:r>
          </w:p>
        </w:tc>
      </w:tr>
      <w:tr w:rsidR="00E25DD6" w:rsidRPr="00E25DD6" w14:paraId="3585EDC4" w14:textId="77777777" w:rsidTr="00E25DD6">
        <w:trPr>
          <w:trHeight w:val="240"/>
        </w:trPr>
        <w:tc>
          <w:tcPr>
            <w:tcW w:w="9351" w:type="dxa"/>
            <w:hideMark/>
          </w:tcPr>
          <w:p w14:paraId="6097AAF2" w14:textId="77777777" w:rsidR="00E25DD6" w:rsidRPr="00E25DD6" w:rsidRDefault="00E25DD6" w:rsidP="0024667E">
            <w:pPr>
              <w:pStyle w:val="niktext15"/>
              <w:rPr>
                <w:sz w:val="20"/>
              </w:rPr>
            </w:pPr>
            <w:r w:rsidRPr="00E25DD6">
              <w:rPr>
                <w:sz w:val="20"/>
              </w:rPr>
              <w:t>IIRC (2010). Welcome to the IIRC. http://www.integratedreporting.org/ (date accessed 10/8/10)</w:t>
            </w:r>
          </w:p>
        </w:tc>
      </w:tr>
      <w:tr w:rsidR="00E25DD6" w:rsidRPr="00E25DD6" w14:paraId="596AF849" w14:textId="77777777" w:rsidTr="00E25DD6">
        <w:trPr>
          <w:trHeight w:val="240"/>
        </w:trPr>
        <w:tc>
          <w:tcPr>
            <w:tcW w:w="9351" w:type="dxa"/>
            <w:hideMark/>
          </w:tcPr>
          <w:p w14:paraId="759111F6" w14:textId="77777777" w:rsidR="00E25DD6" w:rsidRPr="00E25DD6" w:rsidRDefault="00E25DD6" w:rsidP="0024667E">
            <w:pPr>
              <w:pStyle w:val="niktext15"/>
              <w:rPr>
                <w:sz w:val="20"/>
              </w:rPr>
            </w:pPr>
            <w:r w:rsidRPr="00E25DD6">
              <w:rPr>
                <w:sz w:val="20"/>
              </w:rPr>
              <w:t>IIRC (2011). Towards integrated reporting: communicating value in the 21st century. London: IIRC.</w:t>
            </w:r>
          </w:p>
        </w:tc>
      </w:tr>
      <w:tr w:rsidR="00E25DD6" w:rsidRPr="00E25DD6" w14:paraId="0D667905" w14:textId="77777777" w:rsidTr="00E25DD6">
        <w:trPr>
          <w:trHeight w:val="240"/>
        </w:trPr>
        <w:tc>
          <w:tcPr>
            <w:tcW w:w="9351" w:type="dxa"/>
            <w:noWrap/>
            <w:hideMark/>
          </w:tcPr>
          <w:p w14:paraId="3381960E" w14:textId="0CEE0BAD" w:rsidR="00E25DD6" w:rsidRPr="00E25DD6" w:rsidRDefault="00E25DD6" w:rsidP="0024667E">
            <w:pPr>
              <w:pStyle w:val="niktext15"/>
              <w:rPr>
                <w:sz w:val="20"/>
              </w:rPr>
            </w:pPr>
            <w:r w:rsidRPr="00E25DD6">
              <w:rPr>
                <w:sz w:val="20"/>
              </w:rPr>
              <w:t>IIRC (2013a). CDP, CDSB and IIRC announce collaboration to accelerate integrated reporting. Press release 18 July. London: IIRC.</w:t>
            </w:r>
          </w:p>
        </w:tc>
      </w:tr>
      <w:tr w:rsidR="00E25DD6" w:rsidRPr="00E25DD6" w14:paraId="34EF6E21" w14:textId="77777777" w:rsidTr="00E25DD6">
        <w:trPr>
          <w:trHeight w:val="240"/>
        </w:trPr>
        <w:tc>
          <w:tcPr>
            <w:tcW w:w="9351" w:type="dxa"/>
            <w:noWrap/>
            <w:hideMark/>
          </w:tcPr>
          <w:p w14:paraId="6429DC25" w14:textId="2342A9F7" w:rsidR="00E25DD6" w:rsidRPr="00E25DD6" w:rsidRDefault="00E25DD6" w:rsidP="0024667E">
            <w:pPr>
              <w:pStyle w:val="niktext15"/>
              <w:rPr>
                <w:sz w:val="20"/>
              </w:rPr>
            </w:pPr>
            <w:r w:rsidRPr="00E25DD6">
              <w:rPr>
                <w:sz w:val="20"/>
              </w:rPr>
              <w:t>IIRC (2013b). The International &lt;IR&gt; Framework. London: IIRC.</w:t>
            </w:r>
          </w:p>
        </w:tc>
      </w:tr>
      <w:tr w:rsidR="00E25DD6" w:rsidRPr="00E25DD6" w14:paraId="2A76B013" w14:textId="77777777" w:rsidTr="00E25DD6">
        <w:trPr>
          <w:trHeight w:val="240"/>
        </w:trPr>
        <w:tc>
          <w:tcPr>
            <w:tcW w:w="9351" w:type="dxa"/>
            <w:noWrap/>
            <w:hideMark/>
          </w:tcPr>
          <w:p w14:paraId="795AC64F" w14:textId="77777777" w:rsidR="00E25DD6" w:rsidRPr="00E25DD6" w:rsidRDefault="00E25DD6" w:rsidP="0024667E">
            <w:pPr>
              <w:pStyle w:val="niktext15"/>
              <w:rPr>
                <w:sz w:val="20"/>
              </w:rPr>
            </w:pPr>
            <w:r w:rsidRPr="00E25DD6">
              <w:rPr>
                <w:sz w:val="20"/>
              </w:rPr>
              <w:t>IMA (2011). Comment letter: 'towards integrated reporting, communicating value in the 21st century' discussion paper. New Jersey, IMA.</w:t>
            </w:r>
          </w:p>
        </w:tc>
      </w:tr>
      <w:tr w:rsidR="00E25DD6" w:rsidRPr="00E25DD6" w14:paraId="6C1FDDA2" w14:textId="77777777" w:rsidTr="00E25DD6">
        <w:trPr>
          <w:trHeight w:val="240"/>
        </w:trPr>
        <w:tc>
          <w:tcPr>
            <w:tcW w:w="9351" w:type="dxa"/>
            <w:noWrap/>
            <w:hideMark/>
          </w:tcPr>
          <w:p w14:paraId="07589384" w14:textId="7085BBA4" w:rsidR="00E25DD6" w:rsidRPr="00E25DD6" w:rsidRDefault="00E25DD6" w:rsidP="0024667E">
            <w:pPr>
              <w:pStyle w:val="niktext15"/>
              <w:rPr>
                <w:sz w:val="20"/>
              </w:rPr>
            </w:pPr>
            <w:r w:rsidRPr="00E25DD6">
              <w:rPr>
                <w:sz w:val="20"/>
              </w:rPr>
              <w:t>IOSCO (2020a). Sustainable finance and the role of securities regulators and IOSCO. IOSCO.</w:t>
            </w:r>
          </w:p>
        </w:tc>
      </w:tr>
      <w:tr w:rsidR="00E25DD6" w:rsidRPr="00E25DD6" w14:paraId="425F108B" w14:textId="77777777" w:rsidTr="00E25DD6">
        <w:trPr>
          <w:trHeight w:val="240"/>
        </w:trPr>
        <w:tc>
          <w:tcPr>
            <w:tcW w:w="9351" w:type="dxa"/>
            <w:noWrap/>
          </w:tcPr>
          <w:p w14:paraId="78D945FE" w14:textId="557C8780" w:rsidR="00E25DD6" w:rsidRPr="00E25DD6" w:rsidRDefault="00E25DD6" w:rsidP="00B45A15">
            <w:pPr>
              <w:pStyle w:val="niktext15"/>
              <w:rPr>
                <w:sz w:val="20"/>
              </w:rPr>
            </w:pPr>
            <w:r w:rsidRPr="00E25DD6">
              <w:rPr>
                <w:sz w:val="20"/>
              </w:rPr>
              <w:t>IOSCO (2020b). IOSCO responds to IFRS consultation on sustainability reporting. Madrid, IOSCO.</w:t>
            </w:r>
          </w:p>
        </w:tc>
      </w:tr>
      <w:tr w:rsidR="00E25DD6" w:rsidRPr="00E25DD6" w14:paraId="362129D7" w14:textId="77777777" w:rsidTr="00E25DD6">
        <w:trPr>
          <w:trHeight w:val="240"/>
        </w:trPr>
        <w:tc>
          <w:tcPr>
            <w:tcW w:w="9351" w:type="dxa"/>
            <w:noWrap/>
            <w:hideMark/>
          </w:tcPr>
          <w:p w14:paraId="22F5433C" w14:textId="77777777" w:rsidR="00E25DD6" w:rsidRPr="00E25DD6" w:rsidRDefault="00E25DD6" w:rsidP="0024667E">
            <w:pPr>
              <w:pStyle w:val="niktext15"/>
              <w:rPr>
                <w:sz w:val="20"/>
              </w:rPr>
            </w:pPr>
            <w:r w:rsidRPr="00E25DD6">
              <w:rPr>
                <w:sz w:val="20"/>
              </w:rPr>
              <w:t>Ko, T. (2020). Sustainability reporting and its relevance to the IFRS Foundation. London, IFRSF.</w:t>
            </w:r>
          </w:p>
        </w:tc>
      </w:tr>
      <w:tr w:rsidR="00E25DD6" w:rsidRPr="00E25DD6" w14:paraId="12876FCF" w14:textId="77777777" w:rsidTr="00E25DD6">
        <w:trPr>
          <w:trHeight w:val="240"/>
        </w:trPr>
        <w:tc>
          <w:tcPr>
            <w:tcW w:w="9351" w:type="dxa"/>
            <w:noWrap/>
            <w:hideMark/>
          </w:tcPr>
          <w:p w14:paraId="3E5308DA" w14:textId="77777777" w:rsidR="00E25DD6" w:rsidRPr="00E25DD6" w:rsidRDefault="00E25DD6" w:rsidP="0024667E">
            <w:pPr>
              <w:pStyle w:val="niktext15"/>
              <w:rPr>
                <w:sz w:val="20"/>
              </w:rPr>
            </w:pPr>
            <w:proofErr w:type="spellStart"/>
            <w:r w:rsidRPr="00E25DD6">
              <w:rPr>
                <w:sz w:val="20"/>
              </w:rPr>
              <w:t>Kourala</w:t>
            </w:r>
            <w:proofErr w:type="spellEnd"/>
            <w:r w:rsidRPr="00E25DD6">
              <w:rPr>
                <w:sz w:val="20"/>
              </w:rPr>
              <w:t>, A., Moon, J., Salles-</w:t>
            </w:r>
            <w:proofErr w:type="spellStart"/>
            <w:r w:rsidRPr="00E25DD6">
              <w:rPr>
                <w:sz w:val="20"/>
              </w:rPr>
              <w:t>Djelic</w:t>
            </w:r>
            <w:proofErr w:type="spellEnd"/>
            <w:r w:rsidRPr="00E25DD6">
              <w:rPr>
                <w:sz w:val="20"/>
              </w:rPr>
              <w:t xml:space="preserve">, M-L., &amp; </w:t>
            </w:r>
            <w:proofErr w:type="spellStart"/>
            <w:r w:rsidRPr="00E25DD6">
              <w:rPr>
                <w:sz w:val="20"/>
              </w:rPr>
              <w:t>Wickert</w:t>
            </w:r>
            <w:proofErr w:type="spellEnd"/>
            <w:r w:rsidRPr="00E25DD6">
              <w:rPr>
                <w:sz w:val="20"/>
              </w:rPr>
              <w:t>, C. (2019). New roles of government in the governance of business conduct, Organization Studies, 40/8, 1101-1123.</w:t>
            </w:r>
          </w:p>
        </w:tc>
      </w:tr>
      <w:tr w:rsidR="00E25DD6" w:rsidRPr="00E25DD6" w14:paraId="4473FC6E" w14:textId="77777777" w:rsidTr="00E25DD6">
        <w:trPr>
          <w:trHeight w:val="240"/>
        </w:trPr>
        <w:tc>
          <w:tcPr>
            <w:tcW w:w="9351" w:type="dxa"/>
            <w:noWrap/>
            <w:hideMark/>
          </w:tcPr>
          <w:p w14:paraId="548D1BE5" w14:textId="77B94AFC" w:rsidR="00E25DD6" w:rsidRPr="00E25DD6" w:rsidRDefault="00E25DD6" w:rsidP="0024667E">
            <w:pPr>
              <w:pStyle w:val="niktext15"/>
              <w:rPr>
                <w:sz w:val="20"/>
              </w:rPr>
            </w:pPr>
            <w:r w:rsidRPr="00E25DD6">
              <w:rPr>
                <w:sz w:val="20"/>
              </w:rPr>
              <w:t>KPMG (2020). The KPMG survey of sustainability reporting 2020. KPMG International.</w:t>
            </w:r>
          </w:p>
        </w:tc>
      </w:tr>
      <w:tr w:rsidR="00E25DD6" w:rsidRPr="00E25DD6" w14:paraId="25E9643F" w14:textId="77777777" w:rsidTr="00E25DD6">
        <w:trPr>
          <w:trHeight w:val="240"/>
        </w:trPr>
        <w:tc>
          <w:tcPr>
            <w:tcW w:w="9351" w:type="dxa"/>
            <w:hideMark/>
          </w:tcPr>
          <w:p w14:paraId="314101A8" w14:textId="77777777" w:rsidR="00E25DD6" w:rsidRPr="00E25DD6" w:rsidRDefault="00E25DD6" w:rsidP="0024667E">
            <w:pPr>
              <w:pStyle w:val="niktext15"/>
              <w:rPr>
                <w:sz w:val="20"/>
              </w:rPr>
            </w:pPr>
            <w:r w:rsidRPr="00E25DD6">
              <w:rPr>
                <w:sz w:val="20"/>
              </w:rPr>
              <w:t xml:space="preserve">Kwok, W.C.C. &amp; Sharp, D. (2005). Power and international standard setting. </w:t>
            </w:r>
            <w:r w:rsidRPr="00E25DD6">
              <w:rPr>
                <w:i/>
                <w:iCs/>
                <w:sz w:val="20"/>
              </w:rPr>
              <w:t>Accounting, Auditing &amp; Accountability Journal</w:t>
            </w:r>
            <w:r w:rsidRPr="00E25DD6">
              <w:rPr>
                <w:sz w:val="20"/>
              </w:rPr>
              <w:t>, 18/11, 74-99.</w:t>
            </w:r>
          </w:p>
        </w:tc>
      </w:tr>
      <w:tr w:rsidR="00E25DD6" w:rsidRPr="00E25DD6" w14:paraId="348AACF5" w14:textId="77777777" w:rsidTr="00E25DD6">
        <w:trPr>
          <w:trHeight w:val="240"/>
        </w:trPr>
        <w:tc>
          <w:tcPr>
            <w:tcW w:w="9351" w:type="dxa"/>
          </w:tcPr>
          <w:p w14:paraId="5175F025" w14:textId="47B3E54C" w:rsidR="00E25DD6" w:rsidRPr="00E25DD6" w:rsidRDefault="00E25DD6" w:rsidP="0024667E">
            <w:pPr>
              <w:pStyle w:val="niktext15"/>
              <w:rPr>
                <w:sz w:val="20"/>
              </w:rPr>
            </w:pPr>
            <w:r w:rsidRPr="00E25DD6">
              <w:rPr>
                <w:sz w:val="20"/>
              </w:rPr>
              <w:lastRenderedPageBreak/>
              <w:t>Langley, A. (1999). Strategies for theorizing from process data. Academy of Management Review, 24/4, 691-710.</w:t>
            </w:r>
          </w:p>
        </w:tc>
      </w:tr>
      <w:tr w:rsidR="00E25DD6" w:rsidRPr="00E25DD6" w14:paraId="3F0CF7F8" w14:textId="77777777" w:rsidTr="00E25DD6">
        <w:trPr>
          <w:trHeight w:val="240"/>
        </w:trPr>
        <w:tc>
          <w:tcPr>
            <w:tcW w:w="9351" w:type="dxa"/>
            <w:noWrap/>
            <w:hideMark/>
          </w:tcPr>
          <w:p w14:paraId="6E90AB6A" w14:textId="77777777" w:rsidR="00E25DD6" w:rsidRPr="00E25DD6" w:rsidRDefault="00E25DD6" w:rsidP="0024667E">
            <w:pPr>
              <w:pStyle w:val="niktext15"/>
              <w:rPr>
                <w:sz w:val="20"/>
              </w:rPr>
            </w:pPr>
            <w:r w:rsidRPr="00E25DD6">
              <w:rPr>
                <w:sz w:val="20"/>
              </w:rPr>
              <w:t>Larrinaga, C. &amp; Bebbington, J. (2021). The pre-history of sustainability reporting, Accounting, Auditing &amp; Accountability Journal 34/9, 162-181.</w:t>
            </w:r>
          </w:p>
        </w:tc>
      </w:tr>
      <w:tr w:rsidR="00E25DD6" w:rsidRPr="00E25DD6" w14:paraId="6D4C23AF" w14:textId="77777777" w:rsidTr="00E25DD6">
        <w:trPr>
          <w:trHeight w:val="240"/>
        </w:trPr>
        <w:tc>
          <w:tcPr>
            <w:tcW w:w="9351" w:type="dxa"/>
            <w:hideMark/>
          </w:tcPr>
          <w:p w14:paraId="46595CDB" w14:textId="77777777" w:rsidR="00E25DD6" w:rsidRPr="00E25DD6" w:rsidRDefault="00E25DD6" w:rsidP="0024667E">
            <w:pPr>
              <w:pStyle w:val="niktext15"/>
              <w:rPr>
                <w:sz w:val="20"/>
              </w:rPr>
            </w:pPr>
            <w:r w:rsidRPr="00E25DD6">
              <w:rPr>
                <w:sz w:val="20"/>
              </w:rPr>
              <w:t xml:space="preserve">Larrinaga-Gonzalez, C. (2007). Sustainability Reporting: insights from </w:t>
            </w:r>
            <w:proofErr w:type="spellStart"/>
            <w:r w:rsidRPr="00E25DD6">
              <w:rPr>
                <w:sz w:val="20"/>
              </w:rPr>
              <w:t>Neoinstitutional</w:t>
            </w:r>
            <w:proofErr w:type="spellEnd"/>
            <w:r w:rsidRPr="00E25DD6">
              <w:rPr>
                <w:sz w:val="20"/>
              </w:rPr>
              <w:t xml:space="preserve"> Theory </w:t>
            </w:r>
            <w:proofErr w:type="gramStart"/>
            <w:r w:rsidRPr="00E25DD6">
              <w:rPr>
                <w:sz w:val="20"/>
              </w:rPr>
              <w:t>In</w:t>
            </w:r>
            <w:proofErr w:type="gramEnd"/>
            <w:r w:rsidRPr="00E25DD6">
              <w:rPr>
                <w:sz w:val="20"/>
              </w:rPr>
              <w:t xml:space="preserve"> </w:t>
            </w:r>
            <w:proofErr w:type="spellStart"/>
            <w:r w:rsidRPr="00E25DD6">
              <w:rPr>
                <w:sz w:val="20"/>
              </w:rPr>
              <w:t>Unerman</w:t>
            </w:r>
            <w:proofErr w:type="spellEnd"/>
            <w:r w:rsidRPr="00E25DD6">
              <w:rPr>
                <w:sz w:val="20"/>
              </w:rPr>
              <w:t xml:space="preserve">, J., Bebbington, J. &amp; </w:t>
            </w:r>
            <w:proofErr w:type="spellStart"/>
            <w:r w:rsidRPr="00E25DD6">
              <w:rPr>
                <w:sz w:val="20"/>
              </w:rPr>
              <w:t>O’Dwyer</w:t>
            </w:r>
            <w:proofErr w:type="spellEnd"/>
            <w:r w:rsidRPr="00E25DD6">
              <w:rPr>
                <w:sz w:val="20"/>
              </w:rPr>
              <w:t>, B. (Eds.), Sustainability Accounting and Accountability (pp. 150-167) Abingdon: Routledge.</w:t>
            </w:r>
          </w:p>
        </w:tc>
      </w:tr>
      <w:tr w:rsidR="00E25DD6" w:rsidRPr="00E25DD6" w14:paraId="18EC8197" w14:textId="77777777" w:rsidTr="00E25DD6">
        <w:trPr>
          <w:trHeight w:val="240"/>
        </w:trPr>
        <w:tc>
          <w:tcPr>
            <w:tcW w:w="9351" w:type="dxa"/>
            <w:noWrap/>
            <w:hideMark/>
          </w:tcPr>
          <w:p w14:paraId="6C0F102D" w14:textId="77777777" w:rsidR="00E25DD6" w:rsidRPr="00E25DD6" w:rsidRDefault="00E25DD6" w:rsidP="0024667E">
            <w:pPr>
              <w:pStyle w:val="niktext15"/>
              <w:rPr>
                <w:sz w:val="20"/>
              </w:rPr>
            </w:pPr>
            <w:r w:rsidRPr="00E25DD6">
              <w:rPr>
                <w:sz w:val="20"/>
              </w:rPr>
              <w:t>Levy, D.L., Brown, H.S. &amp; De Jong, M. (2010). The contested politics of corporate governance: the case of the GRI, Business &amp; Society, 49/1, 88-115.</w:t>
            </w:r>
          </w:p>
        </w:tc>
      </w:tr>
      <w:tr w:rsidR="00E25DD6" w:rsidRPr="00E25DD6" w14:paraId="5E5BCD0E" w14:textId="77777777" w:rsidTr="00E25DD6">
        <w:trPr>
          <w:trHeight w:val="240"/>
        </w:trPr>
        <w:tc>
          <w:tcPr>
            <w:tcW w:w="9351" w:type="dxa"/>
            <w:hideMark/>
          </w:tcPr>
          <w:p w14:paraId="2371C33D" w14:textId="77777777" w:rsidR="00E25DD6" w:rsidRPr="00E25DD6" w:rsidRDefault="00E25DD6" w:rsidP="0024667E">
            <w:pPr>
              <w:pStyle w:val="niktext15"/>
              <w:rPr>
                <w:sz w:val="20"/>
              </w:rPr>
            </w:pPr>
            <w:proofErr w:type="spellStart"/>
            <w:r w:rsidRPr="00E25DD6">
              <w:rPr>
                <w:sz w:val="20"/>
              </w:rPr>
              <w:t>Lukes</w:t>
            </w:r>
            <w:proofErr w:type="spellEnd"/>
            <w:r w:rsidRPr="00E25DD6">
              <w:rPr>
                <w:sz w:val="20"/>
              </w:rPr>
              <w:t xml:space="preserve">, S. (2005). </w:t>
            </w:r>
            <w:r w:rsidRPr="00E25DD6">
              <w:rPr>
                <w:i/>
                <w:iCs/>
                <w:sz w:val="20"/>
              </w:rPr>
              <w:t>Power: a radical view</w:t>
            </w:r>
            <w:r w:rsidRPr="00E25DD6">
              <w:rPr>
                <w:sz w:val="20"/>
              </w:rPr>
              <w:t>. (2nd ed.). Hampshire: Palgrave Macmillan.</w:t>
            </w:r>
          </w:p>
        </w:tc>
      </w:tr>
      <w:tr w:rsidR="00E25DD6" w:rsidRPr="00E25DD6" w14:paraId="1DC72F1D" w14:textId="77777777" w:rsidTr="00E25DD6">
        <w:trPr>
          <w:trHeight w:val="240"/>
        </w:trPr>
        <w:tc>
          <w:tcPr>
            <w:tcW w:w="9351" w:type="dxa"/>
            <w:hideMark/>
          </w:tcPr>
          <w:p w14:paraId="7A07F176" w14:textId="77777777" w:rsidR="00E25DD6" w:rsidRPr="00E25DD6" w:rsidRDefault="00E25DD6" w:rsidP="0024667E">
            <w:pPr>
              <w:pStyle w:val="niktext15"/>
              <w:rPr>
                <w:sz w:val="20"/>
              </w:rPr>
            </w:pPr>
            <w:proofErr w:type="spellStart"/>
            <w:r w:rsidRPr="00E25DD6">
              <w:rPr>
                <w:sz w:val="20"/>
              </w:rPr>
              <w:t>Malsch</w:t>
            </w:r>
            <w:proofErr w:type="spellEnd"/>
            <w:r w:rsidRPr="00E25DD6">
              <w:rPr>
                <w:sz w:val="20"/>
              </w:rPr>
              <w:t xml:space="preserve">, B. &amp; Gendron, Y. (2011). Reining in auditors: on the dynamics of power surrounding an 'innovation' in regulatory space, </w:t>
            </w:r>
            <w:r w:rsidRPr="00E25DD6">
              <w:rPr>
                <w:i/>
                <w:iCs/>
                <w:sz w:val="20"/>
              </w:rPr>
              <w:t>Accounting, Organizations &amp; Society</w:t>
            </w:r>
            <w:r w:rsidRPr="00E25DD6">
              <w:rPr>
                <w:sz w:val="20"/>
              </w:rPr>
              <w:t>, 36/7, 456-476.</w:t>
            </w:r>
          </w:p>
        </w:tc>
      </w:tr>
      <w:tr w:rsidR="00E25DD6" w:rsidRPr="00E25DD6" w14:paraId="5EFAAB32" w14:textId="77777777" w:rsidTr="00E25DD6">
        <w:trPr>
          <w:trHeight w:val="240"/>
        </w:trPr>
        <w:tc>
          <w:tcPr>
            <w:tcW w:w="9351" w:type="dxa"/>
            <w:noWrap/>
            <w:hideMark/>
          </w:tcPr>
          <w:p w14:paraId="77E9CA16" w14:textId="77777777" w:rsidR="00E25DD6" w:rsidRPr="00E25DD6" w:rsidRDefault="00E25DD6" w:rsidP="0024667E">
            <w:pPr>
              <w:pStyle w:val="niktext15"/>
              <w:rPr>
                <w:sz w:val="20"/>
              </w:rPr>
            </w:pPr>
            <w:proofErr w:type="spellStart"/>
            <w:r w:rsidRPr="00E25DD6">
              <w:rPr>
                <w:sz w:val="20"/>
              </w:rPr>
              <w:t>Malsch</w:t>
            </w:r>
            <w:proofErr w:type="spellEnd"/>
            <w:r w:rsidRPr="00E25DD6">
              <w:rPr>
                <w:sz w:val="20"/>
              </w:rPr>
              <w:t>, B. (2013). Politicizing the expertise of the accounting industry in the realm of corporate social responsibility. Accounting, Organizations &amp; Society, 38(2), 149-168.</w:t>
            </w:r>
          </w:p>
        </w:tc>
      </w:tr>
      <w:tr w:rsidR="00E25DD6" w:rsidRPr="00E25DD6" w14:paraId="5EB9945B" w14:textId="77777777" w:rsidTr="00E25DD6">
        <w:trPr>
          <w:trHeight w:val="240"/>
        </w:trPr>
        <w:tc>
          <w:tcPr>
            <w:tcW w:w="9351" w:type="dxa"/>
            <w:noWrap/>
            <w:hideMark/>
          </w:tcPr>
          <w:p w14:paraId="31929061" w14:textId="77777777" w:rsidR="00E25DD6" w:rsidRPr="00E25DD6" w:rsidRDefault="00E25DD6" w:rsidP="0024667E">
            <w:pPr>
              <w:pStyle w:val="niktext15"/>
              <w:rPr>
                <w:sz w:val="20"/>
              </w:rPr>
            </w:pPr>
            <w:proofErr w:type="spellStart"/>
            <w:r w:rsidRPr="00E25DD6">
              <w:rPr>
                <w:sz w:val="20"/>
              </w:rPr>
              <w:t>Mattli</w:t>
            </w:r>
            <w:proofErr w:type="spellEnd"/>
            <w:r w:rsidRPr="00E25DD6">
              <w:rPr>
                <w:sz w:val="20"/>
              </w:rPr>
              <w:t xml:space="preserve">, W. &amp; </w:t>
            </w:r>
            <w:proofErr w:type="spellStart"/>
            <w:r w:rsidRPr="00E25DD6">
              <w:rPr>
                <w:sz w:val="20"/>
              </w:rPr>
              <w:t>Büthe</w:t>
            </w:r>
            <w:proofErr w:type="spellEnd"/>
            <w:r w:rsidRPr="00E25DD6">
              <w:rPr>
                <w:sz w:val="20"/>
              </w:rPr>
              <w:t>, T. (2003). Setting international standards: technological rationality or primacy of power. World Politics, 56/1, 1-42.</w:t>
            </w:r>
          </w:p>
        </w:tc>
      </w:tr>
      <w:tr w:rsidR="00E25DD6" w:rsidRPr="00E25DD6" w14:paraId="04F8E7DC" w14:textId="77777777" w:rsidTr="00E25DD6">
        <w:trPr>
          <w:trHeight w:val="240"/>
        </w:trPr>
        <w:tc>
          <w:tcPr>
            <w:tcW w:w="9351" w:type="dxa"/>
            <w:noWrap/>
            <w:hideMark/>
          </w:tcPr>
          <w:p w14:paraId="31FE5468" w14:textId="77777777" w:rsidR="00E25DD6" w:rsidRPr="00E25DD6" w:rsidRDefault="00E25DD6" w:rsidP="0024667E">
            <w:pPr>
              <w:pStyle w:val="niktext15"/>
              <w:rPr>
                <w:sz w:val="20"/>
              </w:rPr>
            </w:pPr>
            <w:proofErr w:type="spellStart"/>
            <w:r w:rsidRPr="00E25DD6">
              <w:rPr>
                <w:sz w:val="20"/>
              </w:rPr>
              <w:t>McGoey</w:t>
            </w:r>
            <w:proofErr w:type="spellEnd"/>
            <w:r w:rsidRPr="00E25DD6">
              <w:rPr>
                <w:sz w:val="20"/>
              </w:rPr>
              <w:t xml:space="preserve">, L. (2012). </w:t>
            </w:r>
            <w:proofErr w:type="spellStart"/>
            <w:r w:rsidRPr="00E25DD6">
              <w:rPr>
                <w:sz w:val="20"/>
              </w:rPr>
              <w:t>Philanthrocapitalism</w:t>
            </w:r>
            <w:proofErr w:type="spellEnd"/>
            <w:r w:rsidRPr="00E25DD6">
              <w:rPr>
                <w:sz w:val="20"/>
              </w:rPr>
              <w:t xml:space="preserve"> and its critics, Poetics 40, 185-199.</w:t>
            </w:r>
          </w:p>
        </w:tc>
      </w:tr>
      <w:tr w:rsidR="00E25DD6" w:rsidRPr="00E25DD6" w14:paraId="279E05E0" w14:textId="77777777" w:rsidTr="00E25DD6">
        <w:trPr>
          <w:trHeight w:val="240"/>
        </w:trPr>
        <w:tc>
          <w:tcPr>
            <w:tcW w:w="9351" w:type="dxa"/>
            <w:noWrap/>
            <w:hideMark/>
          </w:tcPr>
          <w:p w14:paraId="469A46E1" w14:textId="77777777" w:rsidR="00E25DD6" w:rsidRPr="00E25DD6" w:rsidRDefault="00E25DD6" w:rsidP="0024667E">
            <w:pPr>
              <w:pStyle w:val="niktext15"/>
              <w:rPr>
                <w:sz w:val="20"/>
              </w:rPr>
            </w:pPr>
            <w:proofErr w:type="spellStart"/>
            <w:r w:rsidRPr="00E25DD6">
              <w:rPr>
                <w:sz w:val="20"/>
              </w:rPr>
              <w:t>McGoey</w:t>
            </w:r>
            <w:proofErr w:type="spellEnd"/>
            <w:r w:rsidRPr="00E25DD6">
              <w:rPr>
                <w:sz w:val="20"/>
              </w:rPr>
              <w:t xml:space="preserve">, L., </w:t>
            </w:r>
            <w:proofErr w:type="spellStart"/>
            <w:r w:rsidRPr="00E25DD6">
              <w:rPr>
                <w:sz w:val="20"/>
              </w:rPr>
              <w:t>Thiel</w:t>
            </w:r>
            <w:proofErr w:type="spellEnd"/>
            <w:r w:rsidRPr="00E25DD6">
              <w:rPr>
                <w:sz w:val="20"/>
              </w:rPr>
              <w:t xml:space="preserve">, D. &amp; West, R. (2018). </w:t>
            </w:r>
            <w:proofErr w:type="spellStart"/>
            <w:r w:rsidRPr="00E25DD6">
              <w:rPr>
                <w:sz w:val="20"/>
              </w:rPr>
              <w:t>Philanthrocapitalism</w:t>
            </w:r>
            <w:proofErr w:type="spellEnd"/>
            <w:r w:rsidRPr="00E25DD6">
              <w:rPr>
                <w:sz w:val="20"/>
              </w:rPr>
              <w:t xml:space="preserve"> and crimes of the powerful, </w:t>
            </w:r>
            <w:proofErr w:type="spellStart"/>
            <w:r w:rsidRPr="00E25DD6">
              <w:rPr>
                <w:sz w:val="20"/>
              </w:rPr>
              <w:t>Politix</w:t>
            </w:r>
            <w:proofErr w:type="spellEnd"/>
            <w:r w:rsidRPr="00E25DD6">
              <w:rPr>
                <w:sz w:val="20"/>
              </w:rPr>
              <w:t xml:space="preserve"> 121/1, 29-54.</w:t>
            </w:r>
          </w:p>
        </w:tc>
      </w:tr>
      <w:tr w:rsidR="00E25DD6" w:rsidRPr="00E25DD6" w14:paraId="37F52A99" w14:textId="77777777" w:rsidTr="00E25DD6">
        <w:trPr>
          <w:trHeight w:val="240"/>
        </w:trPr>
        <w:tc>
          <w:tcPr>
            <w:tcW w:w="9351" w:type="dxa"/>
            <w:noWrap/>
            <w:hideMark/>
          </w:tcPr>
          <w:p w14:paraId="59193AE4" w14:textId="77777777" w:rsidR="00E25DD6" w:rsidRPr="00E25DD6" w:rsidRDefault="00E25DD6" w:rsidP="0024667E">
            <w:pPr>
              <w:pStyle w:val="niktext15"/>
              <w:rPr>
                <w:sz w:val="20"/>
              </w:rPr>
            </w:pPr>
            <w:r w:rsidRPr="00E25DD6">
              <w:rPr>
                <w:sz w:val="20"/>
              </w:rPr>
              <w:t xml:space="preserve">Merino, B.D., </w:t>
            </w:r>
            <w:proofErr w:type="spellStart"/>
            <w:r w:rsidRPr="00E25DD6">
              <w:rPr>
                <w:sz w:val="20"/>
              </w:rPr>
              <w:t>Mayper</w:t>
            </w:r>
            <w:proofErr w:type="spellEnd"/>
            <w:r w:rsidRPr="00E25DD6">
              <w:rPr>
                <w:sz w:val="20"/>
              </w:rPr>
              <w:t>, A.G. &amp; Tolleson, T.D. (2010). Neoliberalism, deregulation and Sarbanes-Oxley, Accounting Auditing &amp; Accountability Journal 23(6), 774-792.</w:t>
            </w:r>
          </w:p>
        </w:tc>
      </w:tr>
      <w:tr w:rsidR="00E25DD6" w:rsidRPr="00E25DD6" w14:paraId="07E89AE1" w14:textId="77777777" w:rsidTr="00E25DD6">
        <w:trPr>
          <w:trHeight w:val="240"/>
        </w:trPr>
        <w:tc>
          <w:tcPr>
            <w:tcW w:w="9351" w:type="dxa"/>
            <w:noWrap/>
            <w:hideMark/>
          </w:tcPr>
          <w:p w14:paraId="0CBE9F0E" w14:textId="77777777" w:rsidR="00E25DD6" w:rsidRPr="00E25DD6" w:rsidRDefault="00E25DD6" w:rsidP="0024667E">
            <w:pPr>
              <w:pStyle w:val="niktext15"/>
              <w:rPr>
                <w:sz w:val="20"/>
              </w:rPr>
            </w:pPr>
            <w:r w:rsidRPr="00E25DD6">
              <w:rPr>
                <w:sz w:val="20"/>
              </w:rPr>
              <w:t xml:space="preserve">Morrison, T.H., </w:t>
            </w:r>
            <w:proofErr w:type="spellStart"/>
            <w:r w:rsidRPr="00E25DD6">
              <w:rPr>
                <w:sz w:val="20"/>
              </w:rPr>
              <w:t>Adger</w:t>
            </w:r>
            <w:proofErr w:type="spellEnd"/>
            <w:r w:rsidRPr="00E25DD6">
              <w:rPr>
                <w:sz w:val="20"/>
              </w:rPr>
              <w:t xml:space="preserve">, W.N., Brown, K., </w:t>
            </w:r>
            <w:proofErr w:type="spellStart"/>
            <w:r w:rsidRPr="00E25DD6">
              <w:rPr>
                <w:sz w:val="20"/>
              </w:rPr>
              <w:t>Lemos</w:t>
            </w:r>
            <w:proofErr w:type="spellEnd"/>
            <w:r w:rsidRPr="00E25DD6">
              <w:rPr>
                <w:sz w:val="20"/>
              </w:rPr>
              <w:t>, M.C., Huitema, D., Phelps, J., Evans, L., Cohen, P., Song, A.M., Turner, R., Quinn, T. &amp; Hughes, T.P. (2019). The black box of power in polycentric environmental governance, Global Environmental Change, 57, 1-8.</w:t>
            </w:r>
          </w:p>
        </w:tc>
      </w:tr>
      <w:tr w:rsidR="00E25DD6" w:rsidRPr="00E25DD6" w14:paraId="3393D808" w14:textId="77777777" w:rsidTr="00E25DD6">
        <w:trPr>
          <w:trHeight w:val="240"/>
        </w:trPr>
        <w:tc>
          <w:tcPr>
            <w:tcW w:w="9351" w:type="dxa"/>
            <w:noWrap/>
            <w:hideMark/>
          </w:tcPr>
          <w:p w14:paraId="35630A6D" w14:textId="77777777" w:rsidR="00E25DD6" w:rsidRPr="00E25DD6" w:rsidRDefault="00E25DD6" w:rsidP="0024667E">
            <w:pPr>
              <w:pStyle w:val="niktext15"/>
              <w:rPr>
                <w:sz w:val="20"/>
              </w:rPr>
            </w:pPr>
            <w:proofErr w:type="spellStart"/>
            <w:r w:rsidRPr="00E25DD6">
              <w:rPr>
                <w:sz w:val="20"/>
              </w:rPr>
              <w:t>O'Dwyer</w:t>
            </w:r>
            <w:proofErr w:type="spellEnd"/>
            <w:r w:rsidRPr="00E25DD6">
              <w:rPr>
                <w:sz w:val="20"/>
              </w:rPr>
              <w:t xml:space="preserve">, B. &amp; </w:t>
            </w:r>
            <w:proofErr w:type="spellStart"/>
            <w:r w:rsidRPr="00E25DD6">
              <w:rPr>
                <w:sz w:val="20"/>
              </w:rPr>
              <w:t>Unerman</w:t>
            </w:r>
            <w:proofErr w:type="spellEnd"/>
            <w:r w:rsidRPr="00E25DD6">
              <w:rPr>
                <w:sz w:val="20"/>
              </w:rPr>
              <w:t>, J. (2020). Shifting the focus of sustainability accounting from impacts to risk and dependencies: researching the transformative potential of TCFD reporting, Accounting, Auditing &amp; Accountability Journal, 33/5, 1113-1141.</w:t>
            </w:r>
          </w:p>
        </w:tc>
      </w:tr>
      <w:tr w:rsidR="00E25DD6" w:rsidRPr="00E25DD6" w14:paraId="3D50ADE7" w14:textId="77777777" w:rsidTr="00E25DD6">
        <w:trPr>
          <w:trHeight w:val="240"/>
        </w:trPr>
        <w:tc>
          <w:tcPr>
            <w:tcW w:w="9351" w:type="dxa"/>
            <w:noWrap/>
            <w:hideMark/>
          </w:tcPr>
          <w:p w14:paraId="52FFE067" w14:textId="1F5A3560" w:rsidR="00E25DD6" w:rsidRPr="00E25DD6" w:rsidRDefault="00E25DD6" w:rsidP="0024667E">
            <w:pPr>
              <w:pStyle w:val="niktext15"/>
              <w:rPr>
                <w:sz w:val="20"/>
              </w:rPr>
            </w:pPr>
            <w:proofErr w:type="spellStart"/>
            <w:r w:rsidRPr="00E25DD6">
              <w:rPr>
                <w:sz w:val="20"/>
              </w:rPr>
              <w:t>Pelger</w:t>
            </w:r>
            <w:proofErr w:type="spellEnd"/>
            <w:r w:rsidRPr="00E25DD6">
              <w:rPr>
                <w:sz w:val="20"/>
              </w:rPr>
              <w:t xml:space="preserve">, C. &amp; </w:t>
            </w:r>
            <w:proofErr w:type="spellStart"/>
            <w:r w:rsidRPr="00E25DD6">
              <w:rPr>
                <w:sz w:val="20"/>
              </w:rPr>
              <w:t>Speiß</w:t>
            </w:r>
            <w:proofErr w:type="spellEnd"/>
            <w:r w:rsidRPr="00E25DD6">
              <w:rPr>
                <w:sz w:val="20"/>
              </w:rPr>
              <w:t>, N. (2017). On the IASB's construction of legitimacy - the case of the agenda consultation project. Accounting &amp; Business Research 47/1, 64-90.</w:t>
            </w:r>
          </w:p>
        </w:tc>
      </w:tr>
      <w:tr w:rsidR="00E25DD6" w:rsidRPr="00E25DD6" w14:paraId="72DD8675" w14:textId="77777777" w:rsidTr="00E25DD6">
        <w:trPr>
          <w:trHeight w:val="240"/>
        </w:trPr>
        <w:tc>
          <w:tcPr>
            <w:tcW w:w="9351" w:type="dxa"/>
            <w:noWrap/>
            <w:hideMark/>
          </w:tcPr>
          <w:p w14:paraId="4E6AD0EA" w14:textId="77777777" w:rsidR="00E25DD6" w:rsidRPr="00E25DD6" w:rsidRDefault="00E25DD6" w:rsidP="0024667E">
            <w:pPr>
              <w:pStyle w:val="niktext15"/>
              <w:rPr>
                <w:sz w:val="20"/>
              </w:rPr>
            </w:pPr>
            <w:r w:rsidRPr="00E25DD6">
              <w:rPr>
                <w:sz w:val="20"/>
              </w:rPr>
              <w:t>Private Sector Taskforce of Regulated Professions &amp; Industries (2011). Final report to G20 deputies. Private Sector Taskforce of Regulated Professions &amp; Industries.</w:t>
            </w:r>
          </w:p>
        </w:tc>
      </w:tr>
      <w:tr w:rsidR="00E25DD6" w:rsidRPr="00E25DD6" w14:paraId="088C9924" w14:textId="77777777" w:rsidTr="00E25DD6">
        <w:trPr>
          <w:trHeight w:val="240"/>
        </w:trPr>
        <w:tc>
          <w:tcPr>
            <w:tcW w:w="9351" w:type="dxa"/>
            <w:noWrap/>
            <w:hideMark/>
          </w:tcPr>
          <w:p w14:paraId="32F55362" w14:textId="77777777" w:rsidR="00E25DD6" w:rsidRPr="00E25DD6" w:rsidRDefault="00E25DD6" w:rsidP="0024667E">
            <w:pPr>
              <w:pStyle w:val="niktext15"/>
              <w:rPr>
                <w:sz w:val="20"/>
              </w:rPr>
            </w:pPr>
            <w:r w:rsidRPr="00E25DD6">
              <w:rPr>
                <w:sz w:val="20"/>
              </w:rPr>
              <w:t xml:space="preserve">Richardson, A. &amp; </w:t>
            </w:r>
            <w:proofErr w:type="spellStart"/>
            <w:r w:rsidRPr="00E25DD6">
              <w:rPr>
                <w:sz w:val="20"/>
              </w:rPr>
              <w:t>Eberlein</w:t>
            </w:r>
            <w:proofErr w:type="spellEnd"/>
            <w:r w:rsidRPr="00E25DD6">
              <w:rPr>
                <w:sz w:val="20"/>
              </w:rPr>
              <w:t xml:space="preserve">, B. 2011. Legitimating Transnational Standard-Setting: The Case of the International Accounting Standards Board. </w:t>
            </w:r>
            <w:r w:rsidRPr="00E25DD6">
              <w:rPr>
                <w:i/>
                <w:iCs/>
                <w:sz w:val="20"/>
              </w:rPr>
              <w:t>Journal of Business Ethics,</w:t>
            </w:r>
            <w:r w:rsidRPr="00E25DD6">
              <w:rPr>
                <w:sz w:val="20"/>
              </w:rPr>
              <w:t xml:space="preserve"> 98</w:t>
            </w:r>
            <w:r w:rsidRPr="00E25DD6">
              <w:rPr>
                <w:b/>
                <w:bCs/>
                <w:sz w:val="20"/>
              </w:rPr>
              <w:t>,</w:t>
            </w:r>
            <w:r w:rsidRPr="00E25DD6">
              <w:rPr>
                <w:sz w:val="20"/>
              </w:rPr>
              <w:t xml:space="preserve"> 217-245.</w:t>
            </w:r>
          </w:p>
        </w:tc>
      </w:tr>
      <w:tr w:rsidR="00E25DD6" w:rsidRPr="00E25DD6" w14:paraId="016BA340" w14:textId="77777777" w:rsidTr="00E25DD6">
        <w:trPr>
          <w:trHeight w:val="240"/>
        </w:trPr>
        <w:tc>
          <w:tcPr>
            <w:tcW w:w="9351" w:type="dxa"/>
            <w:noWrap/>
            <w:hideMark/>
          </w:tcPr>
          <w:p w14:paraId="42C101B7" w14:textId="77777777" w:rsidR="00E25DD6" w:rsidRPr="00E25DD6" w:rsidRDefault="00E25DD6" w:rsidP="0024667E">
            <w:pPr>
              <w:pStyle w:val="niktext15"/>
              <w:rPr>
                <w:sz w:val="20"/>
              </w:rPr>
            </w:pPr>
            <w:r w:rsidRPr="00E25DD6">
              <w:rPr>
                <w:sz w:val="20"/>
              </w:rPr>
              <w:t xml:space="preserve">Rowbottom, N. &amp; </w:t>
            </w:r>
            <w:proofErr w:type="gramStart"/>
            <w:r w:rsidRPr="00E25DD6">
              <w:rPr>
                <w:sz w:val="20"/>
              </w:rPr>
              <w:t>Locke ,</w:t>
            </w:r>
            <w:proofErr w:type="gramEnd"/>
            <w:r w:rsidRPr="00E25DD6">
              <w:rPr>
                <w:sz w:val="20"/>
              </w:rPr>
              <w:t xml:space="preserve"> J. (2016). ‘The </w:t>
            </w:r>
            <w:proofErr w:type="gramStart"/>
            <w:r w:rsidRPr="00E25DD6">
              <w:rPr>
                <w:sz w:val="20"/>
              </w:rPr>
              <w:t>Emergence</w:t>
            </w:r>
            <w:proofErr w:type="gramEnd"/>
            <w:r w:rsidRPr="00E25DD6">
              <w:rPr>
                <w:sz w:val="20"/>
              </w:rPr>
              <w:t xml:space="preserve"> of &lt;IR&gt; Integrated Reporting’, Accounting &amp; Business Research 46/1, 83-115.</w:t>
            </w:r>
          </w:p>
        </w:tc>
      </w:tr>
      <w:tr w:rsidR="00E25DD6" w:rsidRPr="00E25DD6" w14:paraId="66293780" w14:textId="77777777" w:rsidTr="00E25DD6">
        <w:trPr>
          <w:trHeight w:val="240"/>
        </w:trPr>
        <w:tc>
          <w:tcPr>
            <w:tcW w:w="9351" w:type="dxa"/>
            <w:noWrap/>
            <w:hideMark/>
          </w:tcPr>
          <w:p w14:paraId="70D2E85D" w14:textId="77777777" w:rsidR="00E25DD6" w:rsidRPr="00E25DD6" w:rsidRDefault="00E25DD6" w:rsidP="0024667E">
            <w:pPr>
              <w:pStyle w:val="niktext15"/>
              <w:rPr>
                <w:sz w:val="20"/>
              </w:rPr>
            </w:pPr>
            <w:r w:rsidRPr="00E25DD6">
              <w:rPr>
                <w:sz w:val="20"/>
              </w:rPr>
              <w:t xml:space="preserve">Rowbottom, N. &amp; Schroeder, M. (2014). The rise and fall of the UK statutory Operating &amp; Financial Review, Accounting, Auditing &amp; Accountability Journal 27/4, 655-685. </w:t>
            </w:r>
          </w:p>
        </w:tc>
      </w:tr>
      <w:tr w:rsidR="00E25DD6" w:rsidRPr="00E25DD6" w14:paraId="5A39910F" w14:textId="77777777" w:rsidTr="00E25DD6">
        <w:trPr>
          <w:trHeight w:val="240"/>
        </w:trPr>
        <w:tc>
          <w:tcPr>
            <w:tcW w:w="9351" w:type="dxa"/>
            <w:noWrap/>
            <w:hideMark/>
          </w:tcPr>
          <w:p w14:paraId="6484EB08" w14:textId="77777777" w:rsidR="00E25DD6" w:rsidRPr="00E25DD6" w:rsidRDefault="00E25DD6" w:rsidP="0024667E">
            <w:pPr>
              <w:pStyle w:val="niktext15"/>
              <w:rPr>
                <w:sz w:val="20"/>
              </w:rPr>
            </w:pPr>
            <w:proofErr w:type="spellStart"/>
            <w:r w:rsidRPr="00E25DD6">
              <w:rPr>
                <w:sz w:val="20"/>
              </w:rPr>
              <w:t>Saldaña</w:t>
            </w:r>
            <w:proofErr w:type="spellEnd"/>
            <w:r w:rsidRPr="00E25DD6">
              <w:rPr>
                <w:sz w:val="20"/>
              </w:rPr>
              <w:t xml:space="preserve">, J. (2016). The coding manual for qualitative researchers (3rd ed.). New Jersey, Sage. </w:t>
            </w:r>
          </w:p>
        </w:tc>
      </w:tr>
      <w:tr w:rsidR="00E25DD6" w:rsidRPr="00E25DD6" w14:paraId="225A9363" w14:textId="77777777" w:rsidTr="00E25DD6">
        <w:trPr>
          <w:trHeight w:val="225"/>
        </w:trPr>
        <w:tc>
          <w:tcPr>
            <w:tcW w:w="9351" w:type="dxa"/>
            <w:noWrap/>
            <w:hideMark/>
          </w:tcPr>
          <w:p w14:paraId="34F12664" w14:textId="77777777" w:rsidR="00E25DD6" w:rsidRPr="00E25DD6" w:rsidRDefault="00E25DD6" w:rsidP="0024667E">
            <w:pPr>
              <w:pStyle w:val="niktext15"/>
              <w:rPr>
                <w:sz w:val="20"/>
              </w:rPr>
            </w:pPr>
            <w:proofErr w:type="spellStart"/>
            <w:r w:rsidRPr="00E25DD6">
              <w:rPr>
                <w:sz w:val="20"/>
              </w:rPr>
              <w:lastRenderedPageBreak/>
              <w:t>Serafeim</w:t>
            </w:r>
            <w:proofErr w:type="spellEnd"/>
            <w:r w:rsidRPr="00E25DD6">
              <w:rPr>
                <w:sz w:val="20"/>
              </w:rPr>
              <w:t xml:space="preserve">, G., Trinh, K. &amp; </w:t>
            </w:r>
            <w:proofErr w:type="spellStart"/>
            <w:r w:rsidRPr="00E25DD6">
              <w:rPr>
                <w:sz w:val="20"/>
              </w:rPr>
              <w:t>Zochowski</w:t>
            </w:r>
            <w:proofErr w:type="spellEnd"/>
            <w:r w:rsidRPr="00E25DD6">
              <w:rPr>
                <w:sz w:val="20"/>
              </w:rPr>
              <w:t>, R. (2020). A preliminary framework for product impact-weighted accounts. Harvard Business School.</w:t>
            </w:r>
          </w:p>
        </w:tc>
      </w:tr>
      <w:tr w:rsidR="00E25DD6" w:rsidRPr="00E25DD6" w14:paraId="42DEDB05" w14:textId="77777777" w:rsidTr="00E25DD6">
        <w:trPr>
          <w:trHeight w:val="240"/>
        </w:trPr>
        <w:tc>
          <w:tcPr>
            <w:tcW w:w="9351" w:type="dxa"/>
            <w:hideMark/>
          </w:tcPr>
          <w:p w14:paraId="0FAB8A21" w14:textId="77777777" w:rsidR="00E25DD6" w:rsidRPr="00E25DD6" w:rsidRDefault="00E25DD6" w:rsidP="0024667E">
            <w:pPr>
              <w:pStyle w:val="niktext15"/>
              <w:rPr>
                <w:sz w:val="20"/>
              </w:rPr>
            </w:pPr>
            <w:r w:rsidRPr="00E25DD6">
              <w:rPr>
                <w:sz w:val="20"/>
              </w:rPr>
              <w:t xml:space="preserve">Sikka, P. (2002). The politics of restructuring the standard setting bodies: the case of the UK's auditing practices board. </w:t>
            </w:r>
            <w:r w:rsidRPr="00E25DD6">
              <w:rPr>
                <w:i/>
                <w:iCs/>
                <w:sz w:val="20"/>
              </w:rPr>
              <w:t>Accounting Forum</w:t>
            </w:r>
            <w:r w:rsidRPr="00E25DD6">
              <w:rPr>
                <w:sz w:val="20"/>
              </w:rPr>
              <w:t xml:space="preserve"> 26/2, 97-125.</w:t>
            </w:r>
          </w:p>
        </w:tc>
      </w:tr>
      <w:tr w:rsidR="00E25DD6" w:rsidRPr="00E25DD6" w14:paraId="083EDE00" w14:textId="77777777" w:rsidTr="00E25DD6">
        <w:trPr>
          <w:trHeight w:val="240"/>
        </w:trPr>
        <w:tc>
          <w:tcPr>
            <w:tcW w:w="9351" w:type="dxa"/>
            <w:noWrap/>
            <w:hideMark/>
          </w:tcPr>
          <w:p w14:paraId="6294F9C5" w14:textId="77777777" w:rsidR="00E25DD6" w:rsidRPr="00E25DD6" w:rsidRDefault="00E25DD6" w:rsidP="0024667E">
            <w:pPr>
              <w:pStyle w:val="niktext15"/>
              <w:rPr>
                <w:sz w:val="20"/>
              </w:rPr>
            </w:pPr>
            <w:proofErr w:type="spellStart"/>
            <w:r w:rsidRPr="00E25DD6">
              <w:rPr>
                <w:sz w:val="20"/>
              </w:rPr>
              <w:t>Solarino</w:t>
            </w:r>
            <w:proofErr w:type="spellEnd"/>
            <w:r w:rsidRPr="00E25DD6">
              <w:rPr>
                <w:sz w:val="20"/>
              </w:rPr>
              <w:t xml:space="preserve">, A.M. &amp; </w:t>
            </w:r>
            <w:proofErr w:type="spellStart"/>
            <w:r w:rsidRPr="00E25DD6">
              <w:rPr>
                <w:sz w:val="20"/>
              </w:rPr>
              <w:t>Aguinis</w:t>
            </w:r>
            <w:proofErr w:type="spellEnd"/>
            <w:r w:rsidRPr="00E25DD6">
              <w:rPr>
                <w:sz w:val="20"/>
              </w:rPr>
              <w:t>, H. (2021). Challenges and best-practice recommendations for designing and conducting interviews with elite informants, Journal of Management Studies, 58/3, 649-672.</w:t>
            </w:r>
          </w:p>
        </w:tc>
      </w:tr>
      <w:tr w:rsidR="00E25DD6" w:rsidRPr="00E25DD6" w14:paraId="2D38BBA9" w14:textId="77777777" w:rsidTr="00E25DD6">
        <w:trPr>
          <w:trHeight w:val="240"/>
        </w:trPr>
        <w:tc>
          <w:tcPr>
            <w:tcW w:w="9351" w:type="dxa"/>
            <w:noWrap/>
            <w:hideMark/>
          </w:tcPr>
          <w:p w14:paraId="56C70C89" w14:textId="77777777" w:rsidR="00E25DD6" w:rsidRPr="00E25DD6" w:rsidRDefault="00E25DD6" w:rsidP="0024667E">
            <w:pPr>
              <w:pStyle w:val="niktext15"/>
              <w:rPr>
                <w:sz w:val="20"/>
              </w:rPr>
            </w:pPr>
            <w:r w:rsidRPr="00E25DD6">
              <w:rPr>
                <w:sz w:val="20"/>
              </w:rPr>
              <w:t>TCFD (2016). Phase 1 Report of the Task Force on Climate-Related Financial Disclosures. Basel, TCFD.</w:t>
            </w:r>
          </w:p>
        </w:tc>
      </w:tr>
      <w:tr w:rsidR="00E25DD6" w:rsidRPr="00E25DD6" w14:paraId="4E3EAA73" w14:textId="77777777" w:rsidTr="00E25DD6">
        <w:trPr>
          <w:trHeight w:val="240"/>
        </w:trPr>
        <w:tc>
          <w:tcPr>
            <w:tcW w:w="9351" w:type="dxa"/>
            <w:noWrap/>
            <w:hideMark/>
          </w:tcPr>
          <w:p w14:paraId="0B9AD734" w14:textId="77777777" w:rsidR="00E25DD6" w:rsidRPr="00E25DD6" w:rsidRDefault="00E25DD6" w:rsidP="0024667E">
            <w:pPr>
              <w:pStyle w:val="niktext15"/>
              <w:rPr>
                <w:sz w:val="20"/>
              </w:rPr>
            </w:pPr>
            <w:r w:rsidRPr="00E25DD6">
              <w:rPr>
                <w:sz w:val="20"/>
              </w:rPr>
              <w:t>TCFD (2017). Recommendations of the Task Force on Climate-Related Financial Disclosures. Basel, TCFD.</w:t>
            </w:r>
          </w:p>
        </w:tc>
      </w:tr>
      <w:tr w:rsidR="00E25DD6" w:rsidRPr="00E25DD6" w14:paraId="60DD85A4" w14:textId="77777777" w:rsidTr="00E25DD6">
        <w:trPr>
          <w:trHeight w:val="240"/>
        </w:trPr>
        <w:tc>
          <w:tcPr>
            <w:tcW w:w="9351" w:type="dxa"/>
            <w:noWrap/>
            <w:hideMark/>
          </w:tcPr>
          <w:p w14:paraId="5CE88FB2" w14:textId="77777777" w:rsidR="00E25DD6" w:rsidRPr="00E25DD6" w:rsidRDefault="00E25DD6" w:rsidP="0024667E">
            <w:pPr>
              <w:pStyle w:val="niktext15"/>
              <w:rPr>
                <w:sz w:val="20"/>
              </w:rPr>
            </w:pPr>
            <w:r w:rsidRPr="00E25DD6">
              <w:rPr>
                <w:sz w:val="20"/>
              </w:rPr>
              <w:t>TCFD (2018). Task Force on Climate-Related Financial Disclosures: Status Report. Basel, TCFD.</w:t>
            </w:r>
          </w:p>
        </w:tc>
      </w:tr>
      <w:tr w:rsidR="00E25DD6" w:rsidRPr="00E25DD6" w14:paraId="090B23F9" w14:textId="77777777" w:rsidTr="00E25DD6">
        <w:trPr>
          <w:trHeight w:val="240"/>
        </w:trPr>
        <w:tc>
          <w:tcPr>
            <w:tcW w:w="9351" w:type="dxa"/>
            <w:noWrap/>
            <w:hideMark/>
          </w:tcPr>
          <w:p w14:paraId="5B3B3272" w14:textId="77777777" w:rsidR="00E25DD6" w:rsidRPr="00E25DD6" w:rsidRDefault="00E25DD6" w:rsidP="0024667E">
            <w:pPr>
              <w:pStyle w:val="niktext15"/>
              <w:rPr>
                <w:sz w:val="20"/>
              </w:rPr>
            </w:pPr>
            <w:r w:rsidRPr="00E25DD6">
              <w:rPr>
                <w:sz w:val="20"/>
              </w:rPr>
              <w:t>TCFD (2019). Task Force on Climate-Related Financial Disclosures: Status Report. Basel, TCFD.</w:t>
            </w:r>
          </w:p>
        </w:tc>
      </w:tr>
      <w:tr w:rsidR="00E25DD6" w:rsidRPr="00E25DD6" w14:paraId="63534EDD" w14:textId="77777777" w:rsidTr="00E25DD6">
        <w:trPr>
          <w:trHeight w:val="240"/>
        </w:trPr>
        <w:tc>
          <w:tcPr>
            <w:tcW w:w="9351" w:type="dxa"/>
            <w:noWrap/>
            <w:hideMark/>
          </w:tcPr>
          <w:p w14:paraId="57048446" w14:textId="77777777" w:rsidR="00E25DD6" w:rsidRPr="00E25DD6" w:rsidRDefault="00E25DD6" w:rsidP="0024667E">
            <w:pPr>
              <w:pStyle w:val="niktext15"/>
              <w:rPr>
                <w:sz w:val="20"/>
              </w:rPr>
            </w:pPr>
            <w:proofErr w:type="spellStart"/>
            <w:r w:rsidRPr="00E25DD6">
              <w:rPr>
                <w:sz w:val="20"/>
              </w:rPr>
              <w:t>Thistlethwaite</w:t>
            </w:r>
            <w:proofErr w:type="spellEnd"/>
            <w:r w:rsidRPr="00E25DD6">
              <w:rPr>
                <w:sz w:val="20"/>
              </w:rPr>
              <w:t>, J. &amp; Paterson, M. (2016). Private governance and accounting for sustainability networks. Environment &amp; Planning C: Government and Policy, 34(7), 1197-1221.</w:t>
            </w:r>
          </w:p>
        </w:tc>
      </w:tr>
      <w:tr w:rsidR="00E25DD6" w:rsidRPr="00E25DD6" w14:paraId="36DA798C" w14:textId="77777777" w:rsidTr="00E25DD6">
        <w:trPr>
          <w:trHeight w:val="240"/>
        </w:trPr>
        <w:tc>
          <w:tcPr>
            <w:tcW w:w="9351" w:type="dxa"/>
            <w:noWrap/>
            <w:hideMark/>
          </w:tcPr>
          <w:p w14:paraId="3DD1DB65" w14:textId="77777777" w:rsidR="00E25DD6" w:rsidRPr="00E25DD6" w:rsidRDefault="00E25DD6" w:rsidP="0024667E">
            <w:pPr>
              <w:pStyle w:val="niktext15"/>
              <w:rPr>
                <w:sz w:val="20"/>
              </w:rPr>
            </w:pPr>
            <w:proofErr w:type="spellStart"/>
            <w:r w:rsidRPr="00E25DD6">
              <w:rPr>
                <w:sz w:val="20"/>
              </w:rPr>
              <w:t>Vinnari</w:t>
            </w:r>
            <w:proofErr w:type="spellEnd"/>
            <w:r w:rsidRPr="00E25DD6">
              <w:rPr>
                <w:sz w:val="20"/>
              </w:rPr>
              <w:t>, E. &amp; Dillard, J. (2016). (ANT)agonistics: pluralistic politicization of, and by, accounting and its technologies. Critical Perspectives on Accounting 39, 25-44.</w:t>
            </w:r>
          </w:p>
        </w:tc>
      </w:tr>
      <w:tr w:rsidR="00E25DD6" w:rsidRPr="00E25DD6" w14:paraId="6F0104AA" w14:textId="77777777" w:rsidTr="00E25DD6">
        <w:trPr>
          <w:trHeight w:val="240"/>
        </w:trPr>
        <w:tc>
          <w:tcPr>
            <w:tcW w:w="9351" w:type="dxa"/>
            <w:hideMark/>
          </w:tcPr>
          <w:p w14:paraId="20E43CE6" w14:textId="77777777" w:rsidR="00E25DD6" w:rsidRPr="00E25DD6" w:rsidRDefault="00E25DD6" w:rsidP="0024667E">
            <w:pPr>
              <w:pStyle w:val="niktext15"/>
              <w:rPr>
                <w:sz w:val="20"/>
              </w:rPr>
            </w:pPr>
            <w:r w:rsidRPr="00E25DD6">
              <w:rPr>
                <w:sz w:val="20"/>
              </w:rPr>
              <w:t>Walker, R.G. &amp; Robinson, P. (1993). A critical assessment of the literature on political activity and accounting regulation, Research in Accounting Regulation 7/1 p.3-40.</w:t>
            </w:r>
          </w:p>
        </w:tc>
      </w:tr>
      <w:tr w:rsidR="00E25DD6" w:rsidRPr="00E25DD6" w14:paraId="160953AA" w14:textId="77777777" w:rsidTr="00E25DD6">
        <w:trPr>
          <w:trHeight w:val="240"/>
        </w:trPr>
        <w:tc>
          <w:tcPr>
            <w:tcW w:w="9351" w:type="dxa"/>
            <w:noWrap/>
            <w:hideMark/>
          </w:tcPr>
          <w:p w14:paraId="10FEB242" w14:textId="77777777" w:rsidR="00E25DD6" w:rsidRPr="00E25DD6" w:rsidRDefault="00E25DD6" w:rsidP="0024667E">
            <w:pPr>
              <w:pStyle w:val="niktext15"/>
              <w:rPr>
                <w:sz w:val="20"/>
              </w:rPr>
            </w:pPr>
            <w:r w:rsidRPr="00E25DD6">
              <w:rPr>
                <w:sz w:val="20"/>
              </w:rPr>
              <w:t xml:space="preserve">Warren, R., Carter, D.B. &amp; Napier, C.J. (2020). </w:t>
            </w:r>
            <w:proofErr w:type="gramStart"/>
            <w:r w:rsidRPr="00E25DD6">
              <w:rPr>
                <w:sz w:val="20"/>
              </w:rPr>
              <w:t>Opening up</w:t>
            </w:r>
            <w:proofErr w:type="gramEnd"/>
            <w:r w:rsidRPr="00E25DD6">
              <w:rPr>
                <w:sz w:val="20"/>
              </w:rPr>
              <w:t xml:space="preserve"> the politics of standard setting through discourse theory: the case of the IFRS for SMEs, Accounting, Auditing &amp; Accountability Journal, 33/1, 124-151.</w:t>
            </w:r>
          </w:p>
        </w:tc>
      </w:tr>
      <w:tr w:rsidR="00E25DD6" w:rsidRPr="00E25DD6" w14:paraId="1DDF121C" w14:textId="77777777" w:rsidTr="00E25DD6">
        <w:trPr>
          <w:trHeight w:val="240"/>
        </w:trPr>
        <w:tc>
          <w:tcPr>
            <w:tcW w:w="9351" w:type="dxa"/>
            <w:noWrap/>
            <w:hideMark/>
          </w:tcPr>
          <w:p w14:paraId="39E83FA9" w14:textId="77777777" w:rsidR="00E25DD6" w:rsidRPr="00E25DD6" w:rsidRDefault="00E25DD6" w:rsidP="0024667E">
            <w:pPr>
              <w:pStyle w:val="niktext15"/>
              <w:rPr>
                <w:sz w:val="20"/>
              </w:rPr>
            </w:pPr>
            <w:r w:rsidRPr="00E25DD6">
              <w:rPr>
                <w:sz w:val="20"/>
              </w:rPr>
              <w:t>WEF (2020). Towards common metrics and consistent reporting of sustainable value creation. Geneva, WEF.</w:t>
            </w:r>
          </w:p>
        </w:tc>
      </w:tr>
      <w:tr w:rsidR="00E25DD6" w:rsidRPr="00E25DD6" w14:paraId="341F41D8" w14:textId="77777777" w:rsidTr="00E25DD6">
        <w:trPr>
          <w:trHeight w:val="240"/>
        </w:trPr>
        <w:tc>
          <w:tcPr>
            <w:tcW w:w="9351" w:type="dxa"/>
            <w:hideMark/>
          </w:tcPr>
          <w:p w14:paraId="0698EF41" w14:textId="77777777" w:rsidR="00E25DD6" w:rsidRPr="00E25DD6" w:rsidRDefault="00E25DD6" w:rsidP="0024667E">
            <w:pPr>
              <w:pStyle w:val="niktext15"/>
              <w:rPr>
                <w:sz w:val="20"/>
              </w:rPr>
            </w:pPr>
            <w:r w:rsidRPr="00E25DD6">
              <w:rPr>
                <w:sz w:val="20"/>
              </w:rPr>
              <w:t xml:space="preserve">Young, J.J. (2003). Constructing, </w:t>
            </w:r>
            <w:proofErr w:type="gramStart"/>
            <w:r w:rsidRPr="00E25DD6">
              <w:rPr>
                <w:sz w:val="20"/>
              </w:rPr>
              <w:t>persuading</w:t>
            </w:r>
            <w:proofErr w:type="gramEnd"/>
            <w:r w:rsidRPr="00E25DD6">
              <w:rPr>
                <w:sz w:val="20"/>
              </w:rPr>
              <w:t xml:space="preserve"> and silencing: the rhetoric of accounting standards, Accounting, Organizations &amp; Society 28 p.621-638.</w:t>
            </w:r>
          </w:p>
        </w:tc>
      </w:tr>
      <w:tr w:rsidR="00E25DD6" w:rsidRPr="00E25DD6" w14:paraId="17FF21F8" w14:textId="77777777" w:rsidTr="00E25DD6">
        <w:trPr>
          <w:trHeight w:val="225"/>
        </w:trPr>
        <w:tc>
          <w:tcPr>
            <w:tcW w:w="9351" w:type="dxa"/>
            <w:noWrap/>
            <w:hideMark/>
          </w:tcPr>
          <w:p w14:paraId="2B8E9537" w14:textId="77777777" w:rsidR="00E25DD6" w:rsidRPr="00E25DD6" w:rsidRDefault="00E25DD6" w:rsidP="0024667E">
            <w:pPr>
              <w:pStyle w:val="niktext15"/>
              <w:rPr>
                <w:sz w:val="20"/>
              </w:rPr>
            </w:pPr>
            <w:r w:rsidRPr="00E25DD6">
              <w:rPr>
                <w:sz w:val="20"/>
              </w:rPr>
              <w:t>Young, J.J. (2014). Separating the Political and Technical: Accounting Standard-Setting and Purification. Contemporary Accounting Research 31/3, 713-747.</w:t>
            </w:r>
          </w:p>
        </w:tc>
      </w:tr>
      <w:tr w:rsidR="00E25DD6" w:rsidRPr="00E25DD6" w14:paraId="71B7D9DB" w14:textId="77777777" w:rsidTr="00E25DD6">
        <w:trPr>
          <w:trHeight w:val="240"/>
        </w:trPr>
        <w:tc>
          <w:tcPr>
            <w:tcW w:w="9351" w:type="dxa"/>
            <w:noWrap/>
            <w:hideMark/>
          </w:tcPr>
          <w:p w14:paraId="36F50B1B" w14:textId="77777777" w:rsidR="00E25DD6" w:rsidRPr="00E25DD6" w:rsidRDefault="00E25DD6" w:rsidP="0024667E">
            <w:pPr>
              <w:pStyle w:val="niktext15"/>
              <w:rPr>
                <w:sz w:val="20"/>
              </w:rPr>
            </w:pPr>
            <w:r w:rsidRPr="00E25DD6">
              <w:rPr>
                <w:sz w:val="20"/>
              </w:rPr>
              <w:t xml:space="preserve">Zhang, Y., Andrew, J. &amp; </w:t>
            </w:r>
            <w:proofErr w:type="spellStart"/>
            <w:r w:rsidRPr="00E25DD6">
              <w:rPr>
                <w:sz w:val="20"/>
              </w:rPr>
              <w:t>Rudkin</w:t>
            </w:r>
            <w:proofErr w:type="spellEnd"/>
            <w:r w:rsidRPr="00E25DD6">
              <w:rPr>
                <w:sz w:val="20"/>
              </w:rPr>
              <w:t>, K. (2012). Accounting as an instrument of neoliberalism? Accounting, Auditing &amp; Accountability Journal 25/8 p.1266-1289.</w:t>
            </w:r>
          </w:p>
        </w:tc>
      </w:tr>
    </w:tbl>
    <w:p w14:paraId="7AB6C6A6" w14:textId="77777777" w:rsidR="0024667E" w:rsidRPr="0024667E" w:rsidRDefault="0024667E" w:rsidP="0024667E">
      <w:pPr>
        <w:pStyle w:val="niktext15"/>
      </w:pPr>
    </w:p>
    <w:sectPr w:rsidR="0024667E" w:rsidRPr="0024667E" w:rsidSect="00F067A9">
      <w:pgSz w:w="11906" w:h="16838" w:code="9"/>
      <w:pgMar w:top="1418" w:right="1134" w:bottom="1899" w:left="1418" w:header="709"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25A9" w14:textId="77777777" w:rsidR="005A0E9D" w:rsidRDefault="005A0E9D">
      <w:r>
        <w:separator/>
      </w:r>
    </w:p>
  </w:endnote>
  <w:endnote w:type="continuationSeparator" w:id="0">
    <w:p w14:paraId="13752520" w14:textId="77777777" w:rsidR="005A0E9D" w:rsidRDefault="005A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ED8B" w14:textId="77777777" w:rsidR="005A0E9D" w:rsidRDefault="005A0E9D">
      <w:r>
        <w:separator/>
      </w:r>
    </w:p>
  </w:footnote>
  <w:footnote w:type="continuationSeparator" w:id="0">
    <w:p w14:paraId="7BCE70DA" w14:textId="77777777" w:rsidR="005A0E9D" w:rsidRDefault="005A0E9D">
      <w:r>
        <w:continuationSeparator/>
      </w:r>
    </w:p>
  </w:footnote>
  <w:footnote w:id="1">
    <w:p w14:paraId="3D575228" w14:textId="11E1AC2A" w:rsidR="009D3E34" w:rsidRDefault="009D3E34">
      <w:pPr>
        <w:pStyle w:val="FootnoteText"/>
      </w:pPr>
      <w:r>
        <w:rPr>
          <w:rStyle w:val="FootnoteReference"/>
        </w:rPr>
        <w:footnoteRef/>
      </w:r>
      <w:r>
        <w:t xml:space="preserve"> I</w:t>
      </w:r>
      <w:r w:rsidRPr="009D3E34">
        <w:t xml:space="preserve"> would like to gratefully acknowledge the considerable assistance of a former colleague, Delphine </w:t>
      </w:r>
      <w:proofErr w:type="spellStart"/>
      <w:r w:rsidRPr="009D3E34">
        <w:t>Gibassier</w:t>
      </w:r>
      <w:proofErr w:type="spellEnd"/>
      <w:r w:rsidRPr="009D3E34">
        <w:t xml:space="preserve">, who contributed substantially to the early stages of this project during her time at the University of Birmingham. </w:t>
      </w:r>
      <w:r>
        <w:t>I</w:t>
      </w:r>
      <w:r w:rsidRPr="009D3E34">
        <w:t xml:space="preserve"> would also like to thank Jan Bebbington and participants at the Lancaster University workshop on sustainability reporting, EAA 2022 participants, Brendan </w:t>
      </w:r>
      <w:proofErr w:type="spellStart"/>
      <w:r w:rsidRPr="009D3E34">
        <w:t>O’Dwyer</w:t>
      </w:r>
      <w:proofErr w:type="spellEnd"/>
      <w:r w:rsidRPr="009D3E34">
        <w:t xml:space="preserve">, Chris Humphrey and the Birmingham Business School Centre for Responsible Business in helping develop the paper. Finally, </w:t>
      </w:r>
      <w:r>
        <w:t>I’m</w:t>
      </w:r>
      <w:r w:rsidRPr="009D3E34">
        <w:t xml:space="preserve"> very grateful to all the interviewees who generously offered their time and candid insights. For Margaret</w:t>
      </w:r>
    </w:p>
  </w:footnote>
  <w:footnote w:id="2">
    <w:p w14:paraId="52069E79" w14:textId="142B4B94" w:rsidR="005A0E9D" w:rsidRDefault="005A0E9D">
      <w:pPr>
        <w:pStyle w:val="FootnoteText"/>
      </w:pPr>
      <w:r>
        <w:rPr>
          <w:rStyle w:val="FootnoteReference"/>
        </w:rPr>
        <w:footnoteRef/>
      </w:r>
      <w:r>
        <w:t xml:space="preserve"> </w:t>
      </w:r>
      <w:bookmarkStart w:id="2" w:name="_Hlk104472763"/>
      <w:r>
        <w:t>Sustainability reporting is used in the paper to signify both reporting that focuses on how corporate activity affects sustainable, socio-ecological development, and reporting that considers how moves to address sustainable, socio-ecological development affect corporate performance. As such, it intends to capture practices commonly described as ‘social and environmental reporting’, ‘non-financial reporting’, ‘pre-financial reporting’ and ‘ESG reporting’.</w:t>
      </w:r>
    </w:p>
    <w:bookmarkEnd w:id="2"/>
  </w:footnote>
  <w:footnote w:id="3">
    <w:p w14:paraId="4AA94F27" w14:textId="04D157FF" w:rsidR="0018337E" w:rsidRDefault="0018337E" w:rsidP="0018337E">
      <w:pPr>
        <w:pStyle w:val="FootnoteText"/>
      </w:pPr>
      <w:r>
        <w:rPr>
          <w:rStyle w:val="FootnoteReference"/>
        </w:rPr>
        <w:footnoteRef/>
      </w:r>
      <w:r>
        <w:t xml:space="preserve"> Following </w:t>
      </w:r>
      <w:proofErr w:type="spellStart"/>
      <w:r>
        <w:t>Brunsson</w:t>
      </w:r>
      <w:proofErr w:type="spellEnd"/>
      <w:r>
        <w:t xml:space="preserve"> &amp; </w:t>
      </w:r>
      <w:proofErr w:type="spellStart"/>
      <w:r>
        <w:t>Jacobsson</w:t>
      </w:r>
      <w:proofErr w:type="spellEnd"/>
      <w:r>
        <w:t xml:space="preserve"> (2000a), the paper uses ‘standardiser’ to depict those bodies or initiatives that issue guidance aimed at standardising </w:t>
      </w:r>
      <w:r w:rsidR="00DB3AA3">
        <w:t>the way</w:t>
      </w:r>
      <w:r>
        <w:t xml:space="preserve"> companies report on how their activities interact with sustainable development.</w:t>
      </w:r>
    </w:p>
  </w:footnote>
  <w:footnote w:id="4">
    <w:p w14:paraId="17B01D48" w14:textId="77777777" w:rsidR="005A0E9D" w:rsidRDefault="005A0E9D" w:rsidP="00211ACD">
      <w:pPr>
        <w:pStyle w:val="FootnoteText"/>
      </w:pPr>
      <w:r>
        <w:rPr>
          <w:rStyle w:val="FootnoteReference"/>
        </w:rPr>
        <w:footnoteRef/>
      </w:r>
      <w:r>
        <w:t xml:space="preserve"> </w:t>
      </w:r>
      <w:r w:rsidRPr="00324935">
        <w:t xml:space="preserve">A list of acronyms is shown </w:t>
      </w:r>
      <w:r>
        <w:t>in Table 1</w:t>
      </w:r>
    </w:p>
  </w:footnote>
  <w:footnote w:id="5">
    <w:p w14:paraId="44FC7D93" w14:textId="5B2E8575" w:rsidR="005A0E9D" w:rsidRDefault="005A0E9D" w:rsidP="00CC2664">
      <w:pPr>
        <w:pStyle w:val="FootnoteText"/>
      </w:pPr>
      <w:r>
        <w:rPr>
          <w:rStyle w:val="FootnoteReference"/>
        </w:rPr>
        <w:footnoteRef/>
      </w:r>
      <w:r>
        <w:t xml:space="preserve"> Although asked to keep this information private, the other </w:t>
      </w:r>
      <w:r w:rsidR="00A81965">
        <w:t xml:space="preserve">philanthropic </w:t>
      </w:r>
      <w:r>
        <w:t>donor has since been publicly disclosed as the Ford Foundation (see Barton, 2019: 5).</w:t>
      </w:r>
    </w:p>
  </w:footnote>
  <w:footnote w:id="6">
    <w:p w14:paraId="1097743F" w14:textId="6DEAACE3" w:rsidR="00922740" w:rsidRDefault="00922740">
      <w:pPr>
        <w:pStyle w:val="FootnoteText"/>
      </w:pPr>
      <w:r>
        <w:rPr>
          <w:rStyle w:val="FootnoteReference"/>
        </w:rPr>
        <w:footnoteRef/>
      </w:r>
      <w:r>
        <w:t xml:space="preserve"> Pun intended.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C27"/>
    <w:multiLevelType w:val="hybridMultilevel"/>
    <w:tmpl w:val="A3AEF862"/>
    <w:lvl w:ilvl="0" w:tplc="B6D0D896">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56221"/>
    <w:multiLevelType w:val="hybridMultilevel"/>
    <w:tmpl w:val="B3765B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16132F7"/>
    <w:multiLevelType w:val="multilevel"/>
    <w:tmpl w:val="DE9A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8517EF"/>
    <w:multiLevelType w:val="multilevel"/>
    <w:tmpl w:val="AB82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652A27"/>
    <w:multiLevelType w:val="multilevel"/>
    <w:tmpl w:val="B3DC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5B58E3"/>
    <w:multiLevelType w:val="multilevel"/>
    <w:tmpl w:val="9350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3530C0"/>
    <w:multiLevelType w:val="multilevel"/>
    <w:tmpl w:val="D83C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560D01"/>
    <w:multiLevelType w:val="multilevel"/>
    <w:tmpl w:val="4832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9A61B8"/>
    <w:multiLevelType w:val="hybridMultilevel"/>
    <w:tmpl w:val="36B08360"/>
    <w:lvl w:ilvl="0" w:tplc="C79AFB0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30358E"/>
    <w:multiLevelType w:val="hybridMultilevel"/>
    <w:tmpl w:val="4746D948"/>
    <w:lvl w:ilvl="0" w:tplc="4100289C">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650659A3"/>
    <w:multiLevelType w:val="hybridMultilevel"/>
    <w:tmpl w:val="F75AE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7"/>
  </w:num>
  <w:num w:numId="5">
    <w:abstractNumId w:val="6"/>
  </w:num>
  <w:num w:numId="6">
    <w:abstractNumId w:val="5"/>
  </w:num>
  <w:num w:numId="7">
    <w:abstractNumId w:val="2"/>
  </w:num>
  <w:num w:numId="8">
    <w:abstractNumId w:val="3"/>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oNotDisplayPageBoundaries/>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8DA"/>
    <w:rsid w:val="0000057B"/>
    <w:rsid w:val="00000C6B"/>
    <w:rsid w:val="00001378"/>
    <w:rsid w:val="00001634"/>
    <w:rsid w:val="00001B19"/>
    <w:rsid w:val="00002102"/>
    <w:rsid w:val="00002208"/>
    <w:rsid w:val="00003221"/>
    <w:rsid w:val="000036D7"/>
    <w:rsid w:val="000045EC"/>
    <w:rsid w:val="00005C1B"/>
    <w:rsid w:val="0000709D"/>
    <w:rsid w:val="00010029"/>
    <w:rsid w:val="000104BB"/>
    <w:rsid w:val="0001197B"/>
    <w:rsid w:val="00011C60"/>
    <w:rsid w:val="000124BC"/>
    <w:rsid w:val="000125C7"/>
    <w:rsid w:val="00012719"/>
    <w:rsid w:val="0001278A"/>
    <w:rsid w:val="00014D78"/>
    <w:rsid w:val="00015099"/>
    <w:rsid w:val="000150D3"/>
    <w:rsid w:val="0001520D"/>
    <w:rsid w:val="0001549D"/>
    <w:rsid w:val="00015A75"/>
    <w:rsid w:val="00015E2D"/>
    <w:rsid w:val="00016CBD"/>
    <w:rsid w:val="00016F90"/>
    <w:rsid w:val="00017F1A"/>
    <w:rsid w:val="0002008F"/>
    <w:rsid w:val="00021040"/>
    <w:rsid w:val="0002144C"/>
    <w:rsid w:val="000218E9"/>
    <w:rsid w:val="00021C5D"/>
    <w:rsid w:val="00023DD4"/>
    <w:rsid w:val="0002419E"/>
    <w:rsid w:val="00025460"/>
    <w:rsid w:val="000255A7"/>
    <w:rsid w:val="000258E6"/>
    <w:rsid w:val="0002595D"/>
    <w:rsid w:val="00025F10"/>
    <w:rsid w:val="00026535"/>
    <w:rsid w:val="0002691C"/>
    <w:rsid w:val="00026DA6"/>
    <w:rsid w:val="000270ED"/>
    <w:rsid w:val="00027277"/>
    <w:rsid w:val="000275FD"/>
    <w:rsid w:val="000278C4"/>
    <w:rsid w:val="00027904"/>
    <w:rsid w:val="000310D1"/>
    <w:rsid w:val="00031196"/>
    <w:rsid w:val="00031AF0"/>
    <w:rsid w:val="00031B2C"/>
    <w:rsid w:val="00031CA7"/>
    <w:rsid w:val="0003241B"/>
    <w:rsid w:val="0003289A"/>
    <w:rsid w:val="00032A76"/>
    <w:rsid w:val="00033E15"/>
    <w:rsid w:val="00034471"/>
    <w:rsid w:val="000347C0"/>
    <w:rsid w:val="000349B1"/>
    <w:rsid w:val="00034A45"/>
    <w:rsid w:val="00035C96"/>
    <w:rsid w:val="00035FAA"/>
    <w:rsid w:val="00036A67"/>
    <w:rsid w:val="0003752D"/>
    <w:rsid w:val="0003753E"/>
    <w:rsid w:val="00040422"/>
    <w:rsid w:val="00040812"/>
    <w:rsid w:val="0004099D"/>
    <w:rsid w:val="000411B3"/>
    <w:rsid w:val="00041234"/>
    <w:rsid w:val="00044163"/>
    <w:rsid w:val="0004445C"/>
    <w:rsid w:val="000457E6"/>
    <w:rsid w:val="00045974"/>
    <w:rsid w:val="00046D67"/>
    <w:rsid w:val="000516AF"/>
    <w:rsid w:val="000534C6"/>
    <w:rsid w:val="000539D0"/>
    <w:rsid w:val="00054DAC"/>
    <w:rsid w:val="00055203"/>
    <w:rsid w:val="000554FD"/>
    <w:rsid w:val="00055D45"/>
    <w:rsid w:val="00056FF7"/>
    <w:rsid w:val="00057390"/>
    <w:rsid w:val="00057FF1"/>
    <w:rsid w:val="000602EE"/>
    <w:rsid w:val="00061046"/>
    <w:rsid w:val="0006109E"/>
    <w:rsid w:val="000610FB"/>
    <w:rsid w:val="00061287"/>
    <w:rsid w:val="00061975"/>
    <w:rsid w:val="00062444"/>
    <w:rsid w:val="000633FA"/>
    <w:rsid w:val="00063A55"/>
    <w:rsid w:val="00063E24"/>
    <w:rsid w:val="00063FC1"/>
    <w:rsid w:val="0006400B"/>
    <w:rsid w:val="00064407"/>
    <w:rsid w:val="00064559"/>
    <w:rsid w:val="00065021"/>
    <w:rsid w:val="000654FB"/>
    <w:rsid w:val="000661CA"/>
    <w:rsid w:val="00067212"/>
    <w:rsid w:val="000704B4"/>
    <w:rsid w:val="000705B0"/>
    <w:rsid w:val="00071212"/>
    <w:rsid w:val="0007171F"/>
    <w:rsid w:val="00073068"/>
    <w:rsid w:val="00073384"/>
    <w:rsid w:val="00073DF9"/>
    <w:rsid w:val="00074DD6"/>
    <w:rsid w:val="00075835"/>
    <w:rsid w:val="0007631D"/>
    <w:rsid w:val="000809E5"/>
    <w:rsid w:val="00081921"/>
    <w:rsid w:val="00081A5D"/>
    <w:rsid w:val="000825CA"/>
    <w:rsid w:val="00083B49"/>
    <w:rsid w:val="00084CC3"/>
    <w:rsid w:val="00084D82"/>
    <w:rsid w:val="000851B8"/>
    <w:rsid w:val="000868E9"/>
    <w:rsid w:val="0008706B"/>
    <w:rsid w:val="000876BD"/>
    <w:rsid w:val="00087B1E"/>
    <w:rsid w:val="00090B6B"/>
    <w:rsid w:val="00091838"/>
    <w:rsid w:val="000919C4"/>
    <w:rsid w:val="00091CF2"/>
    <w:rsid w:val="00091F4A"/>
    <w:rsid w:val="00092200"/>
    <w:rsid w:val="000939AF"/>
    <w:rsid w:val="00093E36"/>
    <w:rsid w:val="00094F37"/>
    <w:rsid w:val="0009551F"/>
    <w:rsid w:val="00095712"/>
    <w:rsid w:val="0009586A"/>
    <w:rsid w:val="000961CB"/>
    <w:rsid w:val="000962C7"/>
    <w:rsid w:val="000967AC"/>
    <w:rsid w:val="00096D74"/>
    <w:rsid w:val="00096FAE"/>
    <w:rsid w:val="00097903"/>
    <w:rsid w:val="00097E7B"/>
    <w:rsid w:val="00097EFA"/>
    <w:rsid w:val="000A01C7"/>
    <w:rsid w:val="000A058C"/>
    <w:rsid w:val="000A083B"/>
    <w:rsid w:val="000A16AB"/>
    <w:rsid w:val="000A1B1A"/>
    <w:rsid w:val="000A287E"/>
    <w:rsid w:val="000A2B18"/>
    <w:rsid w:val="000A2C96"/>
    <w:rsid w:val="000A3B57"/>
    <w:rsid w:val="000A4633"/>
    <w:rsid w:val="000A4723"/>
    <w:rsid w:val="000A486A"/>
    <w:rsid w:val="000A4AB1"/>
    <w:rsid w:val="000A557A"/>
    <w:rsid w:val="000A5A93"/>
    <w:rsid w:val="000A6AE9"/>
    <w:rsid w:val="000A6EC2"/>
    <w:rsid w:val="000A70EF"/>
    <w:rsid w:val="000A7297"/>
    <w:rsid w:val="000A76BD"/>
    <w:rsid w:val="000B06B2"/>
    <w:rsid w:val="000B086B"/>
    <w:rsid w:val="000B2AA9"/>
    <w:rsid w:val="000B4746"/>
    <w:rsid w:val="000B4A01"/>
    <w:rsid w:val="000B7209"/>
    <w:rsid w:val="000C03AF"/>
    <w:rsid w:val="000C13B7"/>
    <w:rsid w:val="000C1470"/>
    <w:rsid w:val="000C2420"/>
    <w:rsid w:val="000C27FA"/>
    <w:rsid w:val="000C2BAB"/>
    <w:rsid w:val="000C41A3"/>
    <w:rsid w:val="000C4F60"/>
    <w:rsid w:val="000C5E97"/>
    <w:rsid w:val="000C644E"/>
    <w:rsid w:val="000C653D"/>
    <w:rsid w:val="000C715E"/>
    <w:rsid w:val="000C79A6"/>
    <w:rsid w:val="000D0D87"/>
    <w:rsid w:val="000D2402"/>
    <w:rsid w:val="000D2501"/>
    <w:rsid w:val="000D31DE"/>
    <w:rsid w:val="000D4C1F"/>
    <w:rsid w:val="000D549E"/>
    <w:rsid w:val="000D5701"/>
    <w:rsid w:val="000D5847"/>
    <w:rsid w:val="000D63E7"/>
    <w:rsid w:val="000D6437"/>
    <w:rsid w:val="000D687C"/>
    <w:rsid w:val="000D71B5"/>
    <w:rsid w:val="000D79D2"/>
    <w:rsid w:val="000D7C42"/>
    <w:rsid w:val="000D7D8B"/>
    <w:rsid w:val="000E0C16"/>
    <w:rsid w:val="000E0F89"/>
    <w:rsid w:val="000E10D5"/>
    <w:rsid w:val="000E1422"/>
    <w:rsid w:val="000E145D"/>
    <w:rsid w:val="000E151C"/>
    <w:rsid w:val="000E1FF6"/>
    <w:rsid w:val="000E2EB2"/>
    <w:rsid w:val="000E31F8"/>
    <w:rsid w:val="000E3EBE"/>
    <w:rsid w:val="000E3ED7"/>
    <w:rsid w:val="000E453A"/>
    <w:rsid w:val="000E4B7F"/>
    <w:rsid w:val="000E5D13"/>
    <w:rsid w:val="000E631A"/>
    <w:rsid w:val="000E7475"/>
    <w:rsid w:val="000E7B71"/>
    <w:rsid w:val="000E7E17"/>
    <w:rsid w:val="000F08BC"/>
    <w:rsid w:val="000F1FA9"/>
    <w:rsid w:val="000F2313"/>
    <w:rsid w:val="000F2FB9"/>
    <w:rsid w:val="000F320F"/>
    <w:rsid w:val="000F3419"/>
    <w:rsid w:val="000F3A94"/>
    <w:rsid w:val="000F3D28"/>
    <w:rsid w:val="000F3D61"/>
    <w:rsid w:val="000F43A2"/>
    <w:rsid w:val="000F7C11"/>
    <w:rsid w:val="001000D2"/>
    <w:rsid w:val="001000E0"/>
    <w:rsid w:val="00100C28"/>
    <w:rsid w:val="00101D80"/>
    <w:rsid w:val="00102599"/>
    <w:rsid w:val="00102D6C"/>
    <w:rsid w:val="00103187"/>
    <w:rsid w:val="001036D9"/>
    <w:rsid w:val="001036F3"/>
    <w:rsid w:val="00104004"/>
    <w:rsid w:val="00104754"/>
    <w:rsid w:val="00104A53"/>
    <w:rsid w:val="00106C57"/>
    <w:rsid w:val="00107E39"/>
    <w:rsid w:val="0011097F"/>
    <w:rsid w:val="00110DAC"/>
    <w:rsid w:val="0011276A"/>
    <w:rsid w:val="00112FDB"/>
    <w:rsid w:val="00113FEB"/>
    <w:rsid w:val="001152E3"/>
    <w:rsid w:val="001157DD"/>
    <w:rsid w:val="0011611D"/>
    <w:rsid w:val="00116529"/>
    <w:rsid w:val="00116C3D"/>
    <w:rsid w:val="0011781B"/>
    <w:rsid w:val="0012033F"/>
    <w:rsid w:val="0012099F"/>
    <w:rsid w:val="0012134B"/>
    <w:rsid w:val="00122153"/>
    <w:rsid w:val="001223AD"/>
    <w:rsid w:val="00123430"/>
    <w:rsid w:val="00123988"/>
    <w:rsid w:val="00125999"/>
    <w:rsid w:val="001259E3"/>
    <w:rsid w:val="001269DA"/>
    <w:rsid w:val="00126DF0"/>
    <w:rsid w:val="00126E8D"/>
    <w:rsid w:val="00126EF6"/>
    <w:rsid w:val="00126F08"/>
    <w:rsid w:val="00127403"/>
    <w:rsid w:val="00127AB8"/>
    <w:rsid w:val="001304DF"/>
    <w:rsid w:val="00132B85"/>
    <w:rsid w:val="00133042"/>
    <w:rsid w:val="00133E01"/>
    <w:rsid w:val="001379F8"/>
    <w:rsid w:val="00137D2C"/>
    <w:rsid w:val="00140498"/>
    <w:rsid w:val="001408B2"/>
    <w:rsid w:val="001427B9"/>
    <w:rsid w:val="00142C65"/>
    <w:rsid w:val="00142FF3"/>
    <w:rsid w:val="001434E4"/>
    <w:rsid w:val="00143622"/>
    <w:rsid w:val="00144141"/>
    <w:rsid w:val="001449DA"/>
    <w:rsid w:val="0014552B"/>
    <w:rsid w:val="001463A3"/>
    <w:rsid w:val="00146A35"/>
    <w:rsid w:val="00146E02"/>
    <w:rsid w:val="00147E0E"/>
    <w:rsid w:val="001509CC"/>
    <w:rsid w:val="001511EA"/>
    <w:rsid w:val="00151AEA"/>
    <w:rsid w:val="00151B0C"/>
    <w:rsid w:val="00151C8B"/>
    <w:rsid w:val="001524CE"/>
    <w:rsid w:val="001532CB"/>
    <w:rsid w:val="00153C60"/>
    <w:rsid w:val="00153F84"/>
    <w:rsid w:val="00155267"/>
    <w:rsid w:val="00155301"/>
    <w:rsid w:val="00155BF1"/>
    <w:rsid w:val="00157A3E"/>
    <w:rsid w:val="00157C77"/>
    <w:rsid w:val="0016018C"/>
    <w:rsid w:val="0016072A"/>
    <w:rsid w:val="00160A44"/>
    <w:rsid w:val="00164F5E"/>
    <w:rsid w:val="0016506E"/>
    <w:rsid w:val="00165B78"/>
    <w:rsid w:val="001665FF"/>
    <w:rsid w:val="00166C5A"/>
    <w:rsid w:val="001677EE"/>
    <w:rsid w:val="00167CF3"/>
    <w:rsid w:val="00167F6D"/>
    <w:rsid w:val="00170D9C"/>
    <w:rsid w:val="001710CF"/>
    <w:rsid w:val="001712F9"/>
    <w:rsid w:val="00171D52"/>
    <w:rsid w:val="00171E3C"/>
    <w:rsid w:val="0017283F"/>
    <w:rsid w:val="001728AE"/>
    <w:rsid w:val="00172A3C"/>
    <w:rsid w:val="00172C24"/>
    <w:rsid w:val="00172D81"/>
    <w:rsid w:val="0017344C"/>
    <w:rsid w:val="00176064"/>
    <w:rsid w:val="00176373"/>
    <w:rsid w:val="0017743D"/>
    <w:rsid w:val="00177B64"/>
    <w:rsid w:val="001805C3"/>
    <w:rsid w:val="00181751"/>
    <w:rsid w:val="0018225A"/>
    <w:rsid w:val="00182936"/>
    <w:rsid w:val="00182C04"/>
    <w:rsid w:val="0018325B"/>
    <w:rsid w:val="0018337E"/>
    <w:rsid w:val="00183417"/>
    <w:rsid w:val="00183D42"/>
    <w:rsid w:val="00184163"/>
    <w:rsid w:val="00184389"/>
    <w:rsid w:val="00185115"/>
    <w:rsid w:val="001851FF"/>
    <w:rsid w:val="00185547"/>
    <w:rsid w:val="00186657"/>
    <w:rsid w:val="00186B58"/>
    <w:rsid w:val="001873D2"/>
    <w:rsid w:val="001903E4"/>
    <w:rsid w:val="00190F3D"/>
    <w:rsid w:val="00190F59"/>
    <w:rsid w:val="0019144A"/>
    <w:rsid w:val="00191633"/>
    <w:rsid w:val="00193E7D"/>
    <w:rsid w:val="001942E4"/>
    <w:rsid w:val="00194E1E"/>
    <w:rsid w:val="001954ED"/>
    <w:rsid w:val="00195A16"/>
    <w:rsid w:val="001964C6"/>
    <w:rsid w:val="00196B7C"/>
    <w:rsid w:val="001972D9"/>
    <w:rsid w:val="00197550"/>
    <w:rsid w:val="001A020A"/>
    <w:rsid w:val="001A1AF8"/>
    <w:rsid w:val="001A2F30"/>
    <w:rsid w:val="001A3366"/>
    <w:rsid w:val="001A4289"/>
    <w:rsid w:val="001A57FA"/>
    <w:rsid w:val="001A7430"/>
    <w:rsid w:val="001A768C"/>
    <w:rsid w:val="001A7EB6"/>
    <w:rsid w:val="001B039C"/>
    <w:rsid w:val="001B073C"/>
    <w:rsid w:val="001B1A27"/>
    <w:rsid w:val="001B1C89"/>
    <w:rsid w:val="001B1E84"/>
    <w:rsid w:val="001B230D"/>
    <w:rsid w:val="001B2B59"/>
    <w:rsid w:val="001B3EC8"/>
    <w:rsid w:val="001B5467"/>
    <w:rsid w:val="001B71E9"/>
    <w:rsid w:val="001B74D3"/>
    <w:rsid w:val="001B779E"/>
    <w:rsid w:val="001B7BB0"/>
    <w:rsid w:val="001B7BBC"/>
    <w:rsid w:val="001C0225"/>
    <w:rsid w:val="001C0681"/>
    <w:rsid w:val="001C0AC2"/>
    <w:rsid w:val="001C17F1"/>
    <w:rsid w:val="001C1E25"/>
    <w:rsid w:val="001C1FB8"/>
    <w:rsid w:val="001C4FC0"/>
    <w:rsid w:val="001C5219"/>
    <w:rsid w:val="001C5AB4"/>
    <w:rsid w:val="001C68AD"/>
    <w:rsid w:val="001C7012"/>
    <w:rsid w:val="001C74EA"/>
    <w:rsid w:val="001C7A55"/>
    <w:rsid w:val="001D0B4B"/>
    <w:rsid w:val="001D13F3"/>
    <w:rsid w:val="001D1989"/>
    <w:rsid w:val="001D1C3A"/>
    <w:rsid w:val="001D437A"/>
    <w:rsid w:val="001D4ED6"/>
    <w:rsid w:val="001D5207"/>
    <w:rsid w:val="001D5B0A"/>
    <w:rsid w:val="001E0142"/>
    <w:rsid w:val="001E0177"/>
    <w:rsid w:val="001E1DB9"/>
    <w:rsid w:val="001E25F6"/>
    <w:rsid w:val="001E280E"/>
    <w:rsid w:val="001E4D72"/>
    <w:rsid w:val="001E5124"/>
    <w:rsid w:val="001E60F0"/>
    <w:rsid w:val="001E60FD"/>
    <w:rsid w:val="001E6244"/>
    <w:rsid w:val="001E634E"/>
    <w:rsid w:val="001E7797"/>
    <w:rsid w:val="001F0612"/>
    <w:rsid w:val="001F069D"/>
    <w:rsid w:val="001F1199"/>
    <w:rsid w:val="001F1B38"/>
    <w:rsid w:val="001F2E49"/>
    <w:rsid w:val="001F37FF"/>
    <w:rsid w:val="001F4B26"/>
    <w:rsid w:val="001F5B6C"/>
    <w:rsid w:val="001F72E6"/>
    <w:rsid w:val="001F7AFA"/>
    <w:rsid w:val="00200570"/>
    <w:rsid w:val="00200F83"/>
    <w:rsid w:val="002016AE"/>
    <w:rsid w:val="002017B9"/>
    <w:rsid w:val="00201C83"/>
    <w:rsid w:val="0020216E"/>
    <w:rsid w:val="00203000"/>
    <w:rsid w:val="00203E7F"/>
    <w:rsid w:val="00204C32"/>
    <w:rsid w:val="00204F02"/>
    <w:rsid w:val="002050A0"/>
    <w:rsid w:val="002058E2"/>
    <w:rsid w:val="00205E64"/>
    <w:rsid w:val="002062F5"/>
    <w:rsid w:val="00206C1F"/>
    <w:rsid w:val="00206C29"/>
    <w:rsid w:val="00207CB1"/>
    <w:rsid w:val="00210A9A"/>
    <w:rsid w:val="00211359"/>
    <w:rsid w:val="0021163E"/>
    <w:rsid w:val="002116A0"/>
    <w:rsid w:val="00211ACD"/>
    <w:rsid w:val="00211CB9"/>
    <w:rsid w:val="00211FBD"/>
    <w:rsid w:val="00212449"/>
    <w:rsid w:val="00212D9D"/>
    <w:rsid w:val="00213177"/>
    <w:rsid w:val="002135E9"/>
    <w:rsid w:val="00213E35"/>
    <w:rsid w:val="00214222"/>
    <w:rsid w:val="00214541"/>
    <w:rsid w:val="002150B4"/>
    <w:rsid w:val="002156EE"/>
    <w:rsid w:val="00215898"/>
    <w:rsid w:val="00216E6D"/>
    <w:rsid w:val="00217033"/>
    <w:rsid w:val="002170AD"/>
    <w:rsid w:val="0021732D"/>
    <w:rsid w:val="0021764D"/>
    <w:rsid w:val="00217B3B"/>
    <w:rsid w:val="00220E86"/>
    <w:rsid w:val="002210EC"/>
    <w:rsid w:val="00221438"/>
    <w:rsid w:val="0022219B"/>
    <w:rsid w:val="00222A05"/>
    <w:rsid w:val="002235AA"/>
    <w:rsid w:val="002240EA"/>
    <w:rsid w:val="002242C9"/>
    <w:rsid w:val="002243C0"/>
    <w:rsid w:val="002243FF"/>
    <w:rsid w:val="0022489D"/>
    <w:rsid w:val="00224CEF"/>
    <w:rsid w:val="00225379"/>
    <w:rsid w:val="00225486"/>
    <w:rsid w:val="00225710"/>
    <w:rsid w:val="00226590"/>
    <w:rsid w:val="002267BC"/>
    <w:rsid w:val="00226FAE"/>
    <w:rsid w:val="00226FE6"/>
    <w:rsid w:val="002270D2"/>
    <w:rsid w:val="00227413"/>
    <w:rsid w:val="0022797D"/>
    <w:rsid w:val="00230999"/>
    <w:rsid w:val="00230EC2"/>
    <w:rsid w:val="0023179D"/>
    <w:rsid w:val="00231AC6"/>
    <w:rsid w:val="002324E8"/>
    <w:rsid w:val="00232EEC"/>
    <w:rsid w:val="00233896"/>
    <w:rsid w:val="00234191"/>
    <w:rsid w:val="002347E5"/>
    <w:rsid w:val="00234C6F"/>
    <w:rsid w:val="00235606"/>
    <w:rsid w:val="00235A9B"/>
    <w:rsid w:val="00235B92"/>
    <w:rsid w:val="00235D51"/>
    <w:rsid w:val="00236101"/>
    <w:rsid w:val="0023633B"/>
    <w:rsid w:val="00236DD5"/>
    <w:rsid w:val="00237722"/>
    <w:rsid w:val="002379D7"/>
    <w:rsid w:val="002400AB"/>
    <w:rsid w:val="002401B2"/>
    <w:rsid w:val="002403CE"/>
    <w:rsid w:val="00241584"/>
    <w:rsid w:val="002417D8"/>
    <w:rsid w:val="002422FE"/>
    <w:rsid w:val="0024312A"/>
    <w:rsid w:val="00243C77"/>
    <w:rsid w:val="002441A5"/>
    <w:rsid w:val="002452C9"/>
    <w:rsid w:val="002460E3"/>
    <w:rsid w:val="00246314"/>
    <w:rsid w:val="0024650C"/>
    <w:rsid w:val="0024667E"/>
    <w:rsid w:val="00246F3D"/>
    <w:rsid w:val="00246F8D"/>
    <w:rsid w:val="002470A1"/>
    <w:rsid w:val="0024757D"/>
    <w:rsid w:val="00250922"/>
    <w:rsid w:val="002517C5"/>
    <w:rsid w:val="002529D3"/>
    <w:rsid w:val="0025458A"/>
    <w:rsid w:val="002549FA"/>
    <w:rsid w:val="00254A6D"/>
    <w:rsid w:val="00255D51"/>
    <w:rsid w:val="002568D8"/>
    <w:rsid w:val="0025696F"/>
    <w:rsid w:val="00257FE2"/>
    <w:rsid w:val="00261FB2"/>
    <w:rsid w:val="00262277"/>
    <w:rsid w:val="002622B8"/>
    <w:rsid w:val="002629CE"/>
    <w:rsid w:val="002630A7"/>
    <w:rsid w:val="0026310E"/>
    <w:rsid w:val="002640EF"/>
    <w:rsid w:val="002644E6"/>
    <w:rsid w:val="002657A1"/>
    <w:rsid w:val="00265948"/>
    <w:rsid w:val="00265C0C"/>
    <w:rsid w:val="0026614A"/>
    <w:rsid w:val="002664D4"/>
    <w:rsid w:val="002666CE"/>
    <w:rsid w:val="002676D5"/>
    <w:rsid w:val="00270009"/>
    <w:rsid w:val="002701DA"/>
    <w:rsid w:val="00270487"/>
    <w:rsid w:val="00270CD3"/>
    <w:rsid w:val="00271621"/>
    <w:rsid w:val="00273FA5"/>
    <w:rsid w:val="002747DF"/>
    <w:rsid w:val="0027488B"/>
    <w:rsid w:val="00274AB7"/>
    <w:rsid w:val="00274B16"/>
    <w:rsid w:val="00274B60"/>
    <w:rsid w:val="002754E4"/>
    <w:rsid w:val="00275C35"/>
    <w:rsid w:val="0027662B"/>
    <w:rsid w:val="00277696"/>
    <w:rsid w:val="00280283"/>
    <w:rsid w:val="002807EE"/>
    <w:rsid w:val="0028082E"/>
    <w:rsid w:val="002808B9"/>
    <w:rsid w:val="002812B9"/>
    <w:rsid w:val="00281B93"/>
    <w:rsid w:val="00281DD0"/>
    <w:rsid w:val="00282629"/>
    <w:rsid w:val="00282AA3"/>
    <w:rsid w:val="00282EDE"/>
    <w:rsid w:val="00283A3F"/>
    <w:rsid w:val="00283D1F"/>
    <w:rsid w:val="002849F9"/>
    <w:rsid w:val="00284B68"/>
    <w:rsid w:val="0028557B"/>
    <w:rsid w:val="0028605B"/>
    <w:rsid w:val="0028685D"/>
    <w:rsid w:val="00287513"/>
    <w:rsid w:val="002876B9"/>
    <w:rsid w:val="0029067A"/>
    <w:rsid w:val="00290D3A"/>
    <w:rsid w:val="00290FBC"/>
    <w:rsid w:val="002912A8"/>
    <w:rsid w:val="00291424"/>
    <w:rsid w:val="00291F57"/>
    <w:rsid w:val="00292C5E"/>
    <w:rsid w:val="002931D5"/>
    <w:rsid w:val="002934F6"/>
    <w:rsid w:val="00295B38"/>
    <w:rsid w:val="00296112"/>
    <w:rsid w:val="0029635D"/>
    <w:rsid w:val="00297019"/>
    <w:rsid w:val="002A0F6B"/>
    <w:rsid w:val="002A151B"/>
    <w:rsid w:val="002A1BBF"/>
    <w:rsid w:val="002A28A3"/>
    <w:rsid w:val="002A325B"/>
    <w:rsid w:val="002A35F0"/>
    <w:rsid w:val="002A3764"/>
    <w:rsid w:val="002A4FDB"/>
    <w:rsid w:val="002A5241"/>
    <w:rsid w:val="002A5D07"/>
    <w:rsid w:val="002A6283"/>
    <w:rsid w:val="002A63FC"/>
    <w:rsid w:val="002A6496"/>
    <w:rsid w:val="002A675E"/>
    <w:rsid w:val="002A68C6"/>
    <w:rsid w:val="002A7029"/>
    <w:rsid w:val="002A71C4"/>
    <w:rsid w:val="002A73E1"/>
    <w:rsid w:val="002A7A10"/>
    <w:rsid w:val="002A7A63"/>
    <w:rsid w:val="002B00F1"/>
    <w:rsid w:val="002B14B4"/>
    <w:rsid w:val="002B1CF9"/>
    <w:rsid w:val="002B25AF"/>
    <w:rsid w:val="002B2B17"/>
    <w:rsid w:val="002B2D9C"/>
    <w:rsid w:val="002B35E6"/>
    <w:rsid w:val="002B547E"/>
    <w:rsid w:val="002B5BB9"/>
    <w:rsid w:val="002B5BFC"/>
    <w:rsid w:val="002B5E21"/>
    <w:rsid w:val="002B6647"/>
    <w:rsid w:val="002C0585"/>
    <w:rsid w:val="002C14AF"/>
    <w:rsid w:val="002C1B8F"/>
    <w:rsid w:val="002C2B0D"/>
    <w:rsid w:val="002C2D4F"/>
    <w:rsid w:val="002C2F4D"/>
    <w:rsid w:val="002C3102"/>
    <w:rsid w:val="002C32C4"/>
    <w:rsid w:val="002C3E65"/>
    <w:rsid w:val="002C3FF6"/>
    <w:rsid w:val="002C42AC"/>
    <w:rsid w:val="002C452A"/>
    <w:rsid w:val="002C4C19"/>
    <w:rsid w:val="002C5D66"/>
    <w:rsid w:val="002C5F54"/>
    <w:rsid w:val="002C5F74"/>
    <w:rsid w:val="002C615F"/>
    <w:rsid w:val="002C6329"/>
    <w:rsid w:val="002C6545"/>
    <w:rsid w:val="002C68F2"/>
    <w:rsid w:val="002C7F6F"/>
    <w:rsid w:val="002D0A6C"/>
    <w:rsid w:val="002D0F2E"/>
    <w:rsid w:val="002D1278"/>
    <w:rsid w:val="002D2CA2"/>
    <w:rsid w:val="002D379C"/>
    <w:rsid w:val="002D48CE"/>
    <w:rsid w:val="002D5072"/>
    <w:rsid w:val="002D5101"/>
    <w:rsid w:val="002D5652"/>
    <w:rsid w:val="002D5B91"/>
    <w:rsid w:val="002D5C22"/>
    <w:rsid w:val="002D63FA"/>
    <w:rsid w:val="002D64F8"/>
    <w:rsid w:val="002D664B"/>
    <w:rsid w:val="002E00C1"/>
    <w:rsid w:val="002E07C0"/>
    <w:rsid w:val="002E0EC6"/>
    <w:rsid w:val="002E133E"/>
    <w:rsid w:val="002E15B4"/>
    <w:rsid w:val="002E27E9"/>
    <w:rsid w:val="002E2929"/>
    <w:rsid w:val="002E32D7"/>
    <w:rsid w:val="002E3C3F"/>
    <w:rsid w:val="002E48FB"/>
    <w:rsid w:val="002E5284"/>
    <w:rsid w:val="002E5C2D"/>
    <w:rsid w:val="002E6810"/>
    <w:rsid w:val="002E694B"/>
    <w:rsid w:val="002E6AF3"/>
    <w:rsid w:val="002E7A9B"/>
    <w:rsid w:val="002F0749"/>
    <w:rsid w:val="002F1063"/>
    <w:rsid w:val="002F11A3"/>
    <w:rsid w:val="002F15CC"/>
    <w:rsid w:val="002F1E56"/>
    <w:rsid w:val="002F22C7"/>
    <w:rsid w:val="002F2327"/>
    <w:rsid w:val="002F2812"/>
    <w:rsid w:val="002F3C8E"/>
    <w:rsid w:val="002F406E"/>
    <w:rsid w:val="002F4F1F"/>
    <w:rsid w:val="002F61AE"/>
    <w:rsid w:val="002F6ECE"/>
    <w:rsid w:val="002F7A9D"/>
    <w:rsid w:val="002F7FEF"/>
    <w:rsid w:val="00301415"/>
    <w:rsid w:val="0030273C"/>
    <w:rsid w:val="003027A8"/>
    <w:rsid w:val="00302E7F"/>
    <w:rsid w:val="00303AB8"/>
    <w:rsid w:val="00304338"/>
    <w:rsid w:val="00304CA0"/>
    <w:rsid w:val="003050E7"/>
    <w:rsid w:val="00306491"/>
    <w:rsid w:val="00306910"/>
    <w:rsid w:val="00306D54"/>
    <w:rsid w:val="003070B2"/>
    <w:rsid w:val="00307651"/>
    <w:rsid w:val="003077A7"/>
    <w:rsid w:val="00310D9E"/>
    <w:rsid w:val="00311C12"/>
    <w:rsid w:val="00311CF6"/>
    <w:rsid w:val="00312C7C"/>
    <w:rsid w:val="00313DE8"/>
    <w:rsid w:val="00315759"/>
    <w:rsid w:val="0031585C"/>
    <w:rsid w:val="0031771C"/>
    <w:rsid w:val="0032099A"/>
    <w:rsid w:val="003209BE"/>
    <w:rsid w:val="0032190C"/>
    <w:rsid w:val="00322338"/>
    <w:rsid w:val="003224AB"/>
    <w:rsid w:val="00323888"/>
    <w:rsid w:val="00324935"/>
    <w:rsid w:val="00324C86"/>
    <w:rsid w:val="00324CD3"/>
    <w:rsid w:val="003254DD"/>
    <w:rsid w:val="00325DF7"/>
    <w:rsid w:val="00326C49"/>
    <w:rsid w:val="0032707C"/>
    <w:rsid w:val="00327194"/>
    <w:rsid w:val="0033039B"/>
    <w:rsid w:val="00330AF5"/>
    <w:rsid w:val="00330AFF"/>
    <w:rsid w:val="0033115F"/>
    <w:rsid w:val="00331C13"/>
    <w:rsid w:val="00332091"/>
    <w:rsid w:val="00333241"/>
    <w:rsid w:val="00333659"/>
    <w:rsid w:val="00334038"/>
    <w:rsid w:val="0033477F"/>
    <w:rsid w:val="00334C72"/>
    <w:rsid w:val="00335A8D"/>
    <w:rsid w:val="0033681A"/>
    <w:rsid w:val="00337481"/>
    <w:rsid w:val="00340F56"/>
    <w:rsid w:val="003411EF"/>
    <w:rsid w:val="003412FE"/>
    <w:rsid w:val="00341B30"/>
    <w:rsid w:val="00341E3E"/>
    <w:rsid w:val="00342217"/>
    <w:rsid w:val="0034243C"/>
    <w:rsid w:val="00343F03"/>
    <w:rsid w:val="00344DD2"/>
    <w:rsid w:val="003453CF"/>
    <w:rsid w:val="003471BE"/>
    <w:rsid w:val="003477AA"/>
    <w:rsid w:val="00351395"/>
    <w:rsid w:val="00352167"/>
    <w:rsid w:val="00352189"/>
    <w:rsid w:val="00352281"/>
    <w:rsid w:val="00352701"/>
    <w:rsid w:val="00352855"/>
    <w:rsid w:val="00353F25"/>
    <w:rsid w:val="00354F16"/>
    <w:rsid w:val="003550A1"/>
    <w:rsid w:val="0035575D"/>
    <w:rsid w:val="00355B44"/>
    <w:rsid w:val="00356905"/>
    <w:rsid w:val="00356A43"/>
    <w:rsid w:val="003578AA"/>
    <w:rsid w:val="00360236"/>
    <w:rsid w:val="00360C10"/>
    <w:rsid w:val="00361518"/>
    <w:rsid w:val="003621E0"/>
    <w:rsid w:val="00363125"/>
    <w:rsid w:val="003638F8"/>
    <w:rsid w:val="003642F5"/>
    <w:rsid w:val="00364F78"/>
    <w:rsid w:val="0036645D"/>
    <w:rsid w:val="00366A4F"/>
    <w:rsid w:val="00367BF9"/>
    <w:rsid w:val="00367E24"/>
    <w:rsid w:val="00370B5D"/>
    <w:rsid w:val="00370BA3"/>
    <w:rsid w:val="00370DBD"/>
    <w:rsid w:val="00372806"/>
    <w:rsid w:val="0037296E"/>
    <w:rsid w:val="00372BBF"/>
    <w:rsid w:val="00373C78"/>
    <w:rsid w:val="0037452B"/>
    <w:rsid w:val="00374F79"/>
    <w:rsid w:val="0037547C"/>
    <w:rsid w:val="00375736"/>
    <w:rsid w:val="003764FE"/>
    <w:rsid w:val="003765C8"/>
    <w:rsid w:val="0037709E"/>
    <w:rsid w:val="003810E1"/>
    <w:rsid w:val="00381227"/>
    <w:rsid w:val="00383068"/>
    <w:rsid w:val="0038307A"/>
    <w:rsid w:val="00383141"/>
    <w:rsid w:val="00383B59"/>
    <w:rsid w:val="00383C12"/>
    <w:rsid w:val="00383D6C"/>
    <w:rsid w:val="003841A5"/>
    <w:rsid w:val="00384770"/>
    <w:rsid w:val="00384C72"/>
    <w:rsid w:val="00384F3B"/>
    <w:rsid w:val="00385CC1"/>
    <w:rsid w:val="00385FF0"/>
    <w:rsid w:val="003873BB"/>
    <w:rsid w:val="003874D2"/>
    <w:rsid w:val="00390885"/>
    <w:rsid w:val="0039091D"/>
    <w:rsid w:val="00390998"/>
    <w:rsid w:val="003909B6"/>
    <w:rsid w:val="00390BA6"/>
    <w:rsid w:val="00392114"/>
    <w:rsid w:val="00392993"/>
    <w:rsid w:val="00392C88"/>
    <w:rsid w:val="00393047"/>
    <w:rsid w:val="0039318B"/>
    <w:rsid w:val="00393E11"/>
    <w:rsid w:val="00394613"/>
    <w:rsid w:val="00394ACE"/>
    <w:rsid w:val="00394BA3"/>
    <w:rsid w:val="003956DA"/>
    <w:rsid w:val="00395956"/>
    <w:rsid w:val="003971B8"/>
    <w:rsid w:val="0039751F"/>
    <w:rsid w:val="003A0984"/>
    <w:rsid w:val="003A2111"/>
    <w:rsid w:val="003A294A"/>
    <w:rsid w:val="003A2AE8"/>
    <w:rsid w:val="003A2C7E"/>
    <w:rsid w:val="003A3B6A"/>
    <w:rsid w:val="003A4568"/>
    <w:rsid w:val="003A4B2E"/>
    <w:rsid w:val="003A4FD7"/>
    <w:rsid w:val="003A6227"/>
    <w:rsid w:val="003A64D6"/>
    <w:rsid w:val="003A659A"/>
    <w:rsid w:val="003A667E"/>
    <w:rsid w:val="003A6FBF"/>
    <w:rsid w:val="003A7C02"/>
    <w:rsid w:val="003A7D64"/>
    <w:rsid w:val="003B0622"/>
    <w:rsid w:val="003B14A5"/>
    <w:rsid w:val="003B2FB0"/>
    <w:rsid w:val="003B355D"/>
    <w:rsid w:val="003B3639"/>
    <w:rsid w:val="003B4424"/>
    <w:rsid w:val="003B4AF2"/>
    <w:rsid w:val="003B4B1D"/>
    <w:rsid w:val="003B5394"/>
    <w:rsid w:val="003B6417"/>
    <w:rsid w:val="003B66C9"/>
    <w:rsid w:val="003B6E5B"/>
    <w:rsid w:val="003B72C6"/>
    <w:rsid w:val="003B775A"/>
    <w:rsid w:val="003C00B5"/>
    <w:rsid w:val="003C0F25"/>
    <w:rsid w:val="003C278C"/>
    <w:rsid w:val="003C2A7C"/>
    <w:rsid w:val="003C2E25"/>
    <w:rsid w:val="003C304C"/>
    <w:rsid w:val="003C3337"/>
    <w:rsid w:val="003C3751"/>
    <w:rsid w:val="003C37D4"/>
    <w:rsid w:val="003C3B5D"/>
    <w:rsid w:val="003C3D08"/>
    <w:rsid w:val="003C4B65"/>
    <w:rsid w:val="003C4C7A"/>
    <w:rsid w:val="003C62FA"/>
    <w:rsid w:val="003C73CE"/>
    <w:rsid w:val="003C7534"/>
    <w:rsid w:val="003C7AE7"/>
    <w:rsid w:val="003D072C"/>
    <w:rsid w:val="003D1D7A"/>
    <w:rsid w:val="003D1DE3"/>
    <w:rsid w:val="003D20B5"/>
    <w:rsid w:val="003D328F"/>
    <w:rsid w:val="003D3380"/>
    <w:rsid w:val="003D57E6"/>
    <w:rsid w:val="003D7785"/>
    <w:rsid w:val="003D7849"/>
    <w:rsid w:val="003D7891"/>
    <w:rsid w:val="003D7DC1"/>
    <w:rsid w:val="003E1151"/>
    <w:rsid w:val="003E1567"/>
    <w:rsid w:val="003E15B1"/>
    <w:rsid w:val="003E1CBF"/>
    <w:rsid w:val="003E209E"/>
    <w:rsid w:val="003E2D3D"/>
    <w:rsid w:val="003E40CA"/>
    <w:rsid w:val="003E56A7"/>
    <w:rsid w:val="003E59B1"/>
    <w:rsid w:val="003E5F1F"/>
    <w:rsid w:val="003E61AD"/>
    <w:rsid w:val="003E6280"/>
    <w:rsid w:val="003E6C54"/>
    <w:rsid w:val="003F0882"/>
    <w:rsid w:val="003F1F29"/>
    <w:rsid w:val="003F2BBF"/>
    <w:rsid w:val="003F3DA6"/>
    <w:rsid w:val="003F4BE5"/>
    <w:rsid w:val="003F63A1"/>
    <w:rsid w:val="003F759A"/>
    <w:rsid w:val="00400006"/>
    <w:rsid w:val="0040006D"/>
    <w:rsid w:val="004003C0"/>
    <w:rsid w:val="00400FAD"/>
    <w:rsid w:val="004011CF"/>
    <w:rsid w:val="00402BC9"/>
    <w:rsid w:val="004042D1"/>
    <w:rsid w:val="00404866"/>
    <w:rsid w:val="004049E0"/>
    <w:rsid w:val="00406896"/>
    <w:rsid w:val="0040757E"/>
    <w:rsid w:val="00410332"/>
    <w:rsid w:val="00410478"/>
    <w:rsid w:val="004106CA"/>
    <w:rsid w:val="0041143E"/>
    <w:rsid w:val="004127B8"/>
    <w:rsid w:val="0041664A"/>
    <w:rsid w:val="004169DC"/>
    <w:rsid w:val="00416A4E"/>
    <w:rsid w:val="00417DCC"/>
    <w:rsid w:val="00420D15"/>
    <w:rsid w:val="00421014"/>
    <w:rsid w:val="00421E3C"/>
    <w:rsid w:val="00424250"/>
    <w:rsid w:val="00425106"/>
    <w:rsid w:val="004252A4"/>
    <w:rsid w:val="004253DB"/>
    <w:rsid w:val="00425A18"/>
    <w:rsid w:val="00425FF5"/>
    <w:rsid w:val="0042608D"/>
    <w:rsid w:val="00426E2F"/>
    <w:rsid w:val="00426F52"/>
    <w:rsid w:val="0042740F"/>
    <w:rsid w:val="0042767C"/>
    <w:rsid w:val="00427A3F"/>
    <w:rsid w:val="004315F6"/>
    <w:rsid w:val="0043248F"/>
    <w:rsid w:val="0043340A"/>
    <w:rsid w:val="0043391E"/>
    <w:rsid w:val="0043403F"/>
    <w:rsid w:val="00434BA6"/>
    <w:rsid w:val="00434F10"/>
    <w:rsid w:val="00435095"/>
    <w:rsid w:val="0043580D"/>
    <w:rsid w:val="004366B4"/>
    <w:rsid w:val="00436E6E"/>
    <w:rsid w:val="004372DA"/>
    <w:rsid w:val="00442807"/>
    <w:rsid w:val="004437AF"/>
    <w:rsid w:val="004446AC"/>
    <w:rsid w:val="0044497C"/>
    <w:rsid w:val="00447020"/>
    <w:rsid w:val="00450BEF"/>
    <w:rsid w:val="00450FAF"/>
    <w:rsid w:val="00451068"/>
    <w:rsid w:val="0045122C"/>
    <w:rsid w:val="0045281E"/>
    <w:rsid w:val="004534DB"/>
    <w:rsid w:val="00454383"/>
    <w:rsid w:val="0045575C"/>
    <w:rsid w:val="004567DF"/>
    <w:rsid w:val="0045729E"/>
    <w:rsid w:val="00457667"/>
    <w:rsid w:val="0045775A"/>
    <w:rsid w:val="00457F32"/>
    <w:rsid w:val="00460894"/>
    <w:rsid w:val="00460AF7"/>
    <w:rsid w:val="00460F14"/>
    <w:rsid w:val="0046118E"/>
    <w:rsid w:val="00461522"/>
    <w:rsid w:val="00461B53"/>
    <w:rsid w:val="00462EC3"/>
    <w:rsid w:val="00463029"/>
    <w:rsid w:val="0046432E"/>
    <w:rsid w:val="00464532"/>
    <w:rsid w:val="00464745"/>
    <w:rsid w:val="00464B4C"/>
    <w:rsid w:val="00465479"/>
    <w:rsid w:val="00465CA0"/>
    <w:rsid w:val="004667FF"/>
    <w:rsid w:val="00467172"/>
    <w:rsid w:val="004671D6"/>
    <w:rsid w:val="0047104F"/>
    <w:rsid w:val="0047274C"/>
    <w:rsid w:val="0047285F"/>
    <w:rsid w:val="00472BBE"/>
    <w:rsid w:val="0047331F"/>
    <w:rsid w:val="00473E91"/>
    <w:rsid w:val="00474C28"/>
    <w:rsid w:val="00474E2B"/>
    <w:rsid w:val="00475A2B"/>
    <w:rsid w:val="00475AD7"/>
    <w:rsid w:val="00476183"/>
    <w:rsid w:val="004764A3"/>
    <w:rsid w:val="004807CA"/>
    <w:rsid w:val="004819BA"/>
    <w:rsid w:val="00482382"/>
    <w:rsid w:val="0048273F"/>
    <w:rsid w:val="00483348"/>
    <w:rsid w:val="00483EEE"/>
    <w:rsid w:val="00483F9E"/>
    <w:rsid w:val="00484730"/>
    <w:rsid w:val="00485791"/>
    <w:rsid w:val="004861AB"/>
    <w:rsid w:val="00486381"/>
    <w:rsid w:val="004866BB"/>
    <w:rsid w:val="004867A9"/>
    <w:rsid w:val="00486A86"/>
    <w:rsid w:val="00486F18"/>
    <w:rsid w:val="004876BD"/>
    <w:rsid w:val="0048777D"/>
    <w:rsid w:val="00491148"/>
    <w:rsid w:val="0049151D"/>
    <w:rsid w:val="00492BA7"/>
    <w:rsid w:val="0049464B"/>
    <w:rsid w:val="0049492F"/>
    <w:rsid w:val="00495F90"/>
    <w:rsid w:val="00496405"/>
    <w:rsid w:val="00497284"/>
    <w:rsid w:val="004973E7"/>
    <w:rsid w:val="00497FE8"/>
    <w:rsid w:val="004A115D"/>
    <w:rsid w:val="004A15F5"/>
    <w:rsid w:val="004A19AB"/>
    <w:rsid w:val="004A1C36"/>
    <w:rsid w:val="004A1D59"/>
    <w:rsid w:val="004A21EF"/>
    <w:rsid w:val="004A3302"/>
    <w:rsid w:val="004A3DFC"/>
    <w:rsid w:val="004A4477"/>
    <w:rsid w:val="004A527F"/>
    <w:rsid w:val="004A5840"/>
    <w:rsid w:val="004A5A75"/>
    <w:rsid w:val="004A6275"/>
    <w:rsid w:val="004A7246"/>
    <w:rsid w:val="004A72C5"/>
    <w:rsid w:val="004B0D39"/>
    <w:rsid w:val="004B1F24"/>
    <w:rsid w:val="004B27FF"/>
    <w:rsid w:val="004B383B"/>
    <w:rsid w:val="004B3CAE"/>
    <w:rsid w:val="004B4753"/>
    <w:rsid w:val="004B476F"/>
    <w:rsid w:val="004B4B0F"/>
    <w:rsid w:val="004B5060"/>
    <w:rsid w:val="004B5F00"/>
    <w:rsid w:val="004B6A36"/>
    <w:rsid w:val="004B6E34"/>
    <w:rsid w:val="004B777B"/>
    <w:rsid w:val="004B7CA7"/>
    <w:rsid w:val="004B7D4B"/>
    <w:rsid w:val="004C016F"/>
    <w:rsid w:val="004C0814"/>
    <w:rsid w:val="004C0FD5"/>
    <w:rsid w:val="004C0FF7"/>
    <w:rsid w:val="004C1493"/>
    <w:rsid w:val="004C23C3"/>
    <w:rsid w:val="004C2D63"/>
    <w:rsid w:val="004C65B7"/>
    <w:rsid w:val="004C6732"/>
    <w:rsid w:val="004C6987"/>
    <w:rsid w:val="004C6D42"/>
    <w:rsid w:val="004C6EA9"/>
    <w:rsid w:val="004D0555"/>
    <w:rsid w:val="004D14DD"/>
    <w:rsid w:val="004D1BC1"/>
    <w:rsid w:val="004D1C4F"/>
    <w:rsid w:val="004D230F"/>
    <w:rsid w:val="004D3903"/>
    <w:rsid w:val="004D3A95"/>
    <w:rsid w:val="004D4DCA"/>
    <w:rsid w:val="004D60BF"/>
    <w:rsid w:val="004D6842"/>
    <w:rsid w:val="004D6A53"/>
    <w:rsid w:val="004D6C3C"/>
    <w:rsid w:val="004D73FC"/>
    <w:rsid w:val="004D7886"/>
    <w:rsid w:val="004E034F"/>
    <w:rsid w:val="004E0A12"/>
    <w:rsid w:val="004E13B5"/>
    <w:rsid w:val="004E1536"/>
    <w:rsid w:val="004E16A2"/>
    <w:rsid w:val="004E27A5"/>
    <w:rsid w:val="004E35A6"/>
    <w:rsid w:val="004E3CE7"/>
    <w:rsid w:val="004E49B0"/>
    <w:rsid w:val="004E57DE"/>
    <w:rsid w:val="004E7322"/>
    <w:rsid w:val="004E7C5B"/>
    <w:rsid w:val="004F0761"/>
    <w:rsid w:val="004F0785"/>
    <w:rsid w:val="004F0C67"/>
    <w:rsid w:val="004F1042"/>
    <w:rsid w:val="004F1254"/>
    <w:rsid w:val="004F1874"/>
    <w:rsid w:val="004F1947"/>
    <w:rsid w:val="004F28F9"/>
    <w:rsid w:val="004F2C4B"/>
    <w:rsid w:val="004F39FC"/>
    <w:rsid w:val="004F3BDA"/>
    <w:rsid w:val="004F5E45"/>
    <w:rsid w:val="004F6C10"/>
    <w:rsid w:val="004F6DEE"/>
    <w:rsid w:val="004F76B0"/>
    <w:rsid w:val="004F7EAC"/>
    <w:rsid w:val="004F7F11"/>
    <w:rsid w:val="00500A10"/>
    <w:rsid w:val="00500DE0"/>
    <w:rsid w:val="00501018"/>
    <w:rsid w:val="005013D9"/>
    <w:rsid w:val="00501EF1"/>
    <w:rsid w:val="00502233"/>
    <w:rsid w:val="0050343D"/>
    <w:rsid w:val="00503607"/>
    <w:rsid w:val="005041E0"/>
    <w:rsid w:val="005043BD"/>
    <w:rsid w:val="0050673D"/>
    <w:rsid w:val="00506BB2"/>
    <w:rsid w:val="005070DE"/>
    <w:rsid w:val="00510C24"/>
    <w:rsid w:val="0051114E"/>
    <w:rsid w:val="0051131E"/>
    <w:rsid w:val="0051208D"/>
    <w:rsid w:val="00512594"/>
    <w:rsid w:val="005125FA"/>
    <w:rsid w:val="005126A6"/>
    <w:rsid w:val="0051352A"/>
    <w:rsid w:val="00513A2F"/>
    <w:rsid w:val="005143FD"/>
    <w:rsid w:val="00514780"/>
    <w:rsid w:val="005147BF"/>
    <w:rsid w:val="00514921"/>
    <w:rsid w:val="00515073"/>
    <w:rsid w:val="005158BD"/>
    <w:rsid w:val="0051685C"/>
    <w:rsid w:val="00516C47"/>
    <w:rsid w:val="00517BAA"/>
    <w:rsid w:val="00520E73"/>
    <w:rsid w:val="005212B4"/>
    <w:rsid w:val="005216B2"/>
    <w:rsid w:val="00521FC1"/>
    <w:rsid w:val="0052237D"/>
    <w:rsid w:val="00522D5F"/>
    <w:rsid w:val="005235E7"/>
    <w:rsid w:val="00523A29"/>
    <w:rsid w:val="005254E1"/>
    <w:rsid w:val="00526026"/>
    <w:rsid w:val="00527075"/>
    <w:rsid w:val="00527464"/>
    <w:rsid w:val="005311D8"/>
    <w:rsid w:val="00531AFC"/>
    <w:rsid w:val="00531E50"/>
    <w:rsid w:val="00532555"/>
    <w:rsid w:val="005329D1"/>
    <w:rsid w:val="00532A43"/>
    <w:rsid w:val="00532B92"/>
    <w:rsid w:val="00533433"/>
    <w:rsid w:val="00533C3F"/>
    <w:rsid w:val="0053439A"/>
    <w:rsid w:val="00534962"/>
    <w:rsid w:val="00534AE8"/>
    <w:rsid w:val="00536120"/>
    <w:rsid w:val="00536DF6"/>
    <w:rsid w:val="00537042"/>
    <w:rsid w:val="005372FA"/>
    <w:rsid w:val="00537CAE"/>
    <w:rsid w:val="00540157"/>
    <w:rsid w:val="00540A27"/>
    <w:rsid w:val="00540C8E"/>
    <w:rsid w:val="00540F5B"/>
    <w:rsid w:val="00540FF2"/>
    <w:rsid w:val="005415FC"/>
    <w:rsid w:val="0054164D"/>
    <w:rsid w:val="005419E0"/>
    <w:rsid w:val="00541D41"/>
    <w:rsid w:val="0054358F"/>
    <w:rsid w:val="005449E9"/>
    <w:rsid w:val="00545BAB"/>
    <w:rsid w:val="00545E9D"/>
    <w:rsid w:val="00546A74"/>
    <w:rsid w:val="005471CE"/>
    <w:rsid w:val="00547236"/>
    <w:rsid w:val="00547E9C"/>
    <w:rsid w:val="0055023D"/>
    <w:rsid w:val="0055161B"/>
    <w:rsid w:val="00552AE6"/>
    <w:rsid w:val="00552E0C"/>
    <w:rsid w:val="00552FA6"/>
    <w:rsid w:val="00553030"/>
    <w:rsid w:val="00554383"/>
    <w:rsid w:val="00555180"/>
    <w:rsid w:val="005558D3"/>
    <w:rsid w:val="00556927"/>
    <w:rsid w:val="00557951"/>
    <w:rsid w:val="00557B1E"/>
    <w:rsid w:val="00560CC3"/>
    <w:rsid w:val="00561A4B"/>
    <w:rsid w:val="00561CA1"/>
    <w:rsid w:val="00561F5A"/>
    <w:rsid w:val="00562123"/>
    <w:rsid w:val="005626D6"/>
    <w:rsid w:val="00563E89"/>
    <w:rsid w:val="00564BA4"/>
    <w:rsid w:val="00565490"/>
    <w:rsid w:val="005654B8"/>
    <w:rsid w:val="00565E2F"/>
    <w:rsid w:val="00565EEC"/>
    <w:rsid w:val="00566E85"/>
    <w:rsid w:val="00566FCC"/>
    <w:rsid w:val="00570EBB"/>
    <w:rsid w:val="0057131D"/>
    <w:rsid w:val="005722A9"/>
    <w:rsid w:val="005727FD"/>
    <w:rsid w:val="00572C56"/>
    <w:rsid w:val="00573481"/>
    <w:rsid w:val="00574726"/>
    <w:rsid w:val="00575871"/>
    <w:rsid w:val="005758E1"/>
    <w:rsid w:val="00576865"/>
    <w:rsid w:val="00576A92"/>
    <w:rsid w:val="00576BF7"/>
    <w:rsid w:val="00577489"/>
    <w:rsid w:val="00577AF2"/>
    <w:rsid w:val="00580F81"/>
    <w:rsid w:val="005816E7"/>
    <w:rsid w:val="005817C0"/>
    <w:rsid w:val="005819B5"/>
    <w:rsid w:val="005821B6"/>
    <w:rsid w:val="005822F3"/>
    <w:rsid w:val="005833BD"/>
    <w:rsid w:val="00584618"/>
    <w:rsid w:val="00584619"/>
    <w:rsid w:val="005846B1"/>
    <w:rsid w:val="0058473A"/>
    <w:rsid w:val="00585115"/>
    <w:rsid w:val="0058602E"/>
    <w:rsid w:val="00586AE0"/>
    <w:rsid w:val="00586CDD"/>
    <w:rsid w:val="00587242"/>
    <w:rsid w:val="005879E1"/>
    <w:rsid w:val="005905AB"/>
    <w:rsid w:val="005912E0"/>
    <w:rsid w:val="00591F4D"/>
    <w:rsid w:val="005927E6"/>
    <w:rsid w:val="00592835"/>
    <w:rsid w:val="005929A3"/>
    <w:rsid w:val="00592A06"/>
    <w:rsid w:val="00592D28"/>
    <w:rsid w:val="005932F8"/>
    <w:rsid w:val="0059353E"/>
    <w:rsid w:val="00593C37"/>
    <w:rsid w:val="00593CBD"/>
    <w:rsid w:val="0059404B"/>
    <w:rsid w:val="005940E3"/>
    <w:rsid w:val="005945AF"/>
    <w:rsid w:val="005946B8"/>
    <w:rsid w:val="00595A27"/>
    <w:rsid w:val="00595CA9"/>
    <w:rsid w:val="00596882"/>
    <w:rsid w:val="0059772D"/>
    <w:rsid w:val="005A01A9"/>
    <w:rsid w:val="005A0D67"/>
    <w:rsid w:val="005A0DDD"/>
    <w:rsid w:val="005A0E9D"/>
    <w:rsid w:val="005A1554"/>
    <w:rsid w:val="005A1E11"/>
    <w:rsid w:val="005A2257"/>
    <w:rsid w:val="005A2398"/>
    <w:rsid w:val="005A283C"/>
    <w:rsid w:val="005A34EC"/>
    <w:rsid w:val="005A474D"/>
    <w:rsid w:val="005A4BD8"/>
    <w:rsid w:val="005A5166"/>
    <w:rsid w:val="005A57E4"/>
    <w:rsid w:val="005A5857"/>
    <w:rsid w:val="005A5C4F"/>
    <w:rsid w:val="005A5CD0"/>
    <w:rsid w:val="005A6E12"/>
    <w:rsid w:val="005A787F"/>
    <w:rsid w:val="005B0B3A"/>
    <w:rsid w:val="005B1224"/>
    <w:rsid w:val="005B1687"/>
    <w:rsid w:val="005B2574"/>
    <w:rsid w:val="005B325B"/>
    <w:rsid w:val="005B331A"/>
    <w:rsid w:val="005B4D52"/>
    <w:rsid w:val="005B537F"/>
    <w:rsid w:val="005B5BD1"/>
    <w:rsid w:val="005B5EE0"/>
    <w:rsid w:val="005B5FD8"/>
    <w:rsid w:val="005B609D"/>
    <w:rsid w:val="005B64DD"/>
    <w:rsid w:val="005B6819"/>
    <w:rsid w:val="005B688D"/>
    <w:rsid w:val="005B6F3C"/>
    <w:rsid w:val="005B7CD8"/>
    <w:rsid w:val="005C03A9"/>
    <w:rsid w:val="005C0E8D"/>
    <w:rsid w:val="005C259E"/>
    <w:rsid w:val="005C28F0"/>
    <w:rsid w:val="005C36C4"/>
    <w:rsid w:val="005C37FA"/>
    <w:rsid w:val="005C3816"/>
    <w:rsid w:val="005C465A"/>
    <w:rsid w:val="005C4D0D"/>
    <w:rsid w:val="005C4E7D"/>
    <w:rsid w:val="005C5343"/>
    <w:rsid w:val="005C56B3"/>
    <w:rsid w:val="005C65AB"/>
    <w:rsid w:val="005D010F"/>
    <w:rsid w:val="005D06C5"/>
    <w:rsid w:val="005D1320"/>
    <w:rsid w:val="005D2177"/>
    <w:rsid w:val="005D2730"/>
    <w:rsid w:val="005D27AD"/>
    <w:rsid w:val="005D2C67"/>
    <w:rsid w:val="005D37B6"/>
    <w:rsid w:val="005D3FCF"/>
    <w:rsid w:val="005D6421"/>
    <w:rsid w:val="005D6D67"/>
    <w:rsid w:val="005D6DBE"/>
    <w:rsid w:val="005D74CB"/>
    <w:rsid w:val="005D78B7"/>
    <w:rsid w:val="005D7E6A"/>
    <w:rsid w:val="005E0282"/>
    <w:rsid w:val="005E02E5"/>
    <w:rsid w:val="005E08BB"/>
    <w:rsid w:val="005E21B1"/>
    <w:rsid w:val="005E3D71"/>
    <w:rsid w:val="005E3EAD"/>
    <w:rsid w:val="005E40AA"/>
    <w:rsid w:val="005E48F4"/>
    <w:rsid w:val="005E4DD7"/>
    <w:rsid w:val="005E60D1"/>
    <w:rsid w:val="005E6568"/>
    <w:rsid w:val="005E6E94"/>
    <w:rsid w:val="005E715C"/>
    <w:rsid w:val="005E743C"/>
    <w:rsid w:val="005E7958"/>
    <w:rsid w:val="005E7C11"/>
    <w:rsid w:val="005F0FEE"/>
    <w:rsid w:val="005F109E"/>
    <w:rsid w:val="005F199D"/>
    <w:rsid w:val="005F29BF"/>
    <w:rsid w:val="005F34DC"/>
    <w:rsid w:val="005F35E3"/>
    <w:rsid w:val="005F4BCB"/>
    <w:rsid w:val="005F4CE0"/>
    <w:rsid w:val="005F4D3E"/>
    <w:rsid w:val="005F5482"/>
    <w:rsid w:val="005F6AE6"/>
    <w:rsid w:val="005F6F2B"/>
    <w:rsid w:val="005F71CE"/>
    <w:rsid w:val="00600786"/>
    <w:rsid w:val="0060152F"/>
    <w:rsid w:val="006015BA"/>
    <w:rsid w:val="00601A76"/>
    <w:rsid w:val="0060236A"/>
    <w:rsid w:val="006032A7"/>
    <w:rsid w:val="00604349"/>
    <w:rsid w:val="006052AB"/>
    <w:rsid w:val="00606956"/>
    <w:rsid w:val="00607A33"/>
    <w:rsid w:val="00607C26"/>
    <w:rsid w:val="00610AB2"/>
    <w:rsid w:val="00610C70"/>
    <w:rsid w:val="00611C24"/>
    <w:rsid w:val="00612585"/>
    <w:rsid w:val="00612716"/>
    <w:rsid w:val="00613ABC"/>
    <w:rsid w:val="00613D8F"/>
    <w:rsid w:val="00613E62"/>
    <w:rsid w:val="006150EB"/>
    <w:rsid w:val="00615D17"/>
    <w:rsid w:val="00616390"/>
    <w:rsid w:val="00616C06"/>
    <w:rsid w:val="00616D94"/>
    <w:rsid w:val="00617458"/>
    <w:rsid w:val="00617A8B"/>
    <w:rsid w:val="00617D04"/>
    <w:rsid w:val="00617EA6"/>
    <w:rsid w:val="00620317"/>
    <w:rsid w:val="00621299"/>
    <w:rsid w:val="00621841"/>
    <w:rsid w:val="00622B68"/>
    <w:rsid w:val="00623A25"/>
    <w:rsid w:val="00625F33"/>
    <w:rsid w:val="0062609F"/>
    <w:rsid w:val="006269F1"/>
    <w:rsid w:val="00626BB7"/>
    <w:rsid w:val="00631627"/>
    <w:rsid w:val="00631E83"/>
    <w:rsid w:val="00631F5B"/>
    <w:rsid w:val="0063333E"/>
    <w:rsid w:val="00633A36"/>
    <w:rsid w:val="006348B4"/>
    <w:rsid w:val="0063568D"/>
    <w:rsid w:val="006370A1"/>
    <w:rsid w:val="006372A3"/>
    <w:rsid w:val="00640B86"/>
    <w:rsid w:val="00641EFD"/>
    <w:rsid w:val="006431C4"/>
    <w:rsid w:val="00644340"/>
    <w:rsid w:val="00645338"/>
    <w:rsid w:val="006453EC"/>
    <w:rsid w:val="00645A0B"/>
    <w:rsid w:val="00646314"/>
    <w:rsid w:val="00646471"/>
    <w:rsid w:val="00646D4C"/>
    <w:rsid w:val="00646D4E"/>
    <w:rsid w:val="00646E21"/>
    <w:rsid w:val="0064708B"/>
    <w:rsid w:val="00647581"/>
    <w:rsid w:val="006477E1"/>
    <w:rsid w:val="00647B38"/>
    <w:rsid w:val="0065031E"/>
    <w:rsid w:val="0065181A"/>
    <w:rsid w:val="006524F7"/>
    <w:rsid w:val="00653AFB"/>
    <w:rsid w:val="00654257"/>
    <w:rsid w:val="00654C36"/>
    <w:rsid w:val="00654ECE"/>
    <w:rsid w:val="00655D29"/>
    <w:rsid w:val="00656526"/>
    <w:rsid w:val="00656803"/>
    <w:rsid w:val="00656F83"/>
    <w:rsid w:val="00657C1D"/>
    <w:rsid w:val="00657F1A"/>
    <w:rsid w:val="006602D3"/>
    <w:rsid w:val="006606FD"/>
    <w:rsid w:val="00660B04"/>
    <w:rsid w:val="0066176F"/>
    <w:rsid w:val="00661783"/>
    <w:rsid w:val="00662123"/>
    <w:rsid w:val="00662290"/>
    <w:rsid w:val="006622AF"/>
    <w:rsid w:val="0066263A"/>
    <w:rsid w:val="00662B1E"/>
    <w:rsid w:val="00663079"/>
    <w:rsid w:val="00663477"/>
    <w:rsid w:val="006637EF"/>
    <w:rsid w:val="00664107"/>
    <w:rsid w:val="00664578"/>
    <w:rsid w:val="006646A3"/>
    <w:rsid w:val="00664AE9"/>
    <w:rsid w:val="0066611C"/>
    <w:rsid w:val="00666648"/>
    <w:rsid w:val="00667096"/>
    <w:rsid w:val="00667721"/>
    <w:rsid w:val="00667B35"/>
    <w:rsid w:val="00670FDE"/>
    <w:rsid w:val="006715BE"/>
    <w:rsid w:val="0067162B"/>
    <w:rsid w:val="00672062"/>
    <w:rsid w:val="006721C2"/>
    <w:rsid w:val="00672686"/>
    <w:rsid w:val="00672830"/>
    <w:rsid w:val="00673DFC"/>
    <w:rsid w:val="00674574"/>
    <w:rsid w:val="00674F5D"/>
    <w:rsid w:val="00675117"/>
    <w:rsid w:val="006755DF"/>
    <w:rsid w:val="00675BA4"/>
    <w:rsid w:val="006760BD"/>
    <w:rsid w:val="00676A57"/>
    <w:rsid w:val="00676BA9"/>
    <w:rsid w:val="0067709E"/>
    <w:rsid w:val="0067756D"/>
    <w:rsid w:val="00677629"/>
    <w:rsid w:val="00677890"/>
    <w:rsid w:val="006809B8"/>
    <w:rsid w:val="0068224A"/>
    <w:rsid w:val="00682B34"/>
    <w:rsid w:val="00684120"/>
    <w:rsid w:val="006852E8"/>
    <w:rsid w:val="00685B7D"/>
    <w:rsid w:val="00685BAC"/>
    <w:rsid w:val="00686BD1"/>
    <w:rsid w:val="006871E9"/>
    <w:rsid w:val="00687EEF"/>
    <w:rsid w:val="006907E2"/>
    <w:rsid w:val="00690881"/>
    <w:rsid w:val="00691403"/>
    <w:rsid w:val="006914A1"/>
    <w:rsid w:val="006914E9"/>
    <w:rsid w:val="00691EC9"/>
    <w:rsid w:val="00693017"/>
    <w:rsid w:val="00694E2D"/>
    <w:rsid w:val="00695754"/>
    <w:rsid w:val="00697AA0"/>
    <w:rsid w:val="00697F9F"/>
    <w:rsid w:val="006A0810"/>
    <w:rsid w:val="006A11A6"/>
    <w:rsid w:val="006A17CC"/>
    <w:rsid w:val="006A1C14"/>
    <w:rsid w:val="006A1FBE"/>
    <w:rsid w:val="006A2D78"/>
    <w:rsid w:val="006A3441"/>
    <w:rsid w:val="006A41EC"/>
    <w:rsid w:val="006A57E6"/>
    <w:rsid w:val="006A5ED6"/>
    <w:rsid w:val="006B0250"/>
    <w:rsid w:val="006B0555"/>
    <w:rsid w:val="006B0E42"/>
    <w:rsid w:val="006B1454"/>
    <w:rsid w:val="006B26A0"/>
    <w:rsid w:val="006B3731"/>
    <w:rsid w:val="006B384F"/>
    <w:rsid w:val="006B38C2"/>
    <w:rsid w:val="006B43A4"/>
    <w:rsid w:val="006B4F50"/>
    <w:rsid w:val="006B6291"/>
    <w:rsid w:val="006B7733"/>
    <w:rsid w:val="006B785A"/>
    <w:rsid w:val="006B7B14"/>
    <w:rsid w:val="006C0346"/>
    <w:rsid w:val="006C03E5"/>
    <w:rsid w:val="006C1B06"/>
    <w:rsid w:val="006C26ED"/>
    <w:rsid w:val="006C4319"/>
    <w:rsid w:val="006C4AC0"/>
    <w:rsid w:val="006C5449"/>
    <w:rsid w:val="006C5541"/>
    <w:rsid w:val="006C640C"/>
    <w:rsid w:val="006C6BAC"/>
    <w:rsid w:val="006C6C4C"/>
    <w:rsid w:val="006C6D8A"/>
    <w:rsid w:val="006D0AB8"/>
    <w:rsid w:val="006D10BD"/>
    <w:rsid w:val="006D14E6"/>
    <w:rsid w:val="006D185B"/>
    <w:rsid w:val="006D244E"/>
    <w:rsid w:val="006D2587"/>
    <w:rsid w:val="006D2A25"/>
    <w:rsid w:val="006D3BDC"/>
    <w:rsid w:val="006D4801"/>
    <w:rsid w:val="006D4CC9"/>
    <w:rsid w:val="006D4F13"/>
    <w:rsid w:val="006D5ABD"/>
    <w:rsid w:val="006D5E30"/>
    <w:rsid w:val="006D6428"/>
    <w:rsid w:val="006D6853"/>
    <w:rsid w:val="006D6DB4"/>
    <w:rsid w:val="006D72A4"/>
    <w:rsid w:val="006D7598"/>
    <w:rsid w:val="006E08F8"/>
    <w:rsid w:val="006E0B86"/>
    <w:rsid w:val="006E19C9"/>
    <w:rsid w:val="006E2C71"/>
    <w:rsid w:val="006E2D3B"/>
    <w:rsid w:val="006E38B0"/>
    <w:rsid w:val="006E4198"/>
    <w:rsid w:val="006E5610"/>
    <w:rsid w:val="006E5AD3"/>
    <w:rsid w:val="006E5B58"/>
    <w:rsid w:val="006E5C2A"/>
    <w:rsid w:val="006E5F82"/>
    <w:rsid w:val="006E61FD"/>
    <w:rsid w:val="006E652B"/>
    <w:rsid w:val="006E7338"/>
    <w:rsid w:val="006E745C"/>
    <w:rsid w:val="006E7638"/>
    <w:rsid w:val="006E7F79"/>
    <w:rsid w:val="006F0B48"/>
    <w:rsid w:val="006F0F86"/>
    <w:rsid w:val="006F27F5"/>
    <w:rsid w:val="006F2B01"/>
    <w:rsid w:val="006F3750"/>
    <w:rsid w:val="006F3970"/>
    <w:rsid w:val="006F3B9B"/>
    <w:rsid w:val="006F3C16"/>
    <w:rsid w:val="006F3C43"/>
    <w:rsid w:val="006F3C75"/>
    <w:rsid w:val="006F43DB"/>
    <w:rsid w:val="006F44C9"/>
    <w:rsid w:val="006F5ED1"/>
    <w:rsid w:val="006F61F7"/>
    <w:rsid w:val="006F6246"/>
    <w:rsid w:val="006F6B18"/>
    <w:rsid w:val="006F6E56"/>
    <w:rsid w:val="00700CC9"/>
    <w:rsid w:val="007018B7"/>
    <w:rsid w:val="007027CD"/>
    <w:rsid w:val="00702E00"/>
    <w:rsid w:val="00703A31"/>
    <w:rsid w:val="00703D08"/>
    <w:rsid w:val="0070416C"/>
    <w:rsid w:val="00705732"/>
    <w:rsid w:val="0070595A"/>
    <w:rsid w:val="0070673F"/>
    <w:rsid w:val="00707345"/>
    <w:rsid w:val="007073FB"/>
    <w:rsid w:val="00707AB9"/>
    <w:rsid w:val="007102C6"/>
    <w:rsid w:val="007109F1"/>
    <w:rsid w:val="00710DCE"/>
    <w:rsid w:val="007114C1"/>
    <w:rsid w:val="00711A19"/>
    <w:rsid w:val="00712243"/>
    <w:rsid w:val="00712855"/>
    <w:rsid w:val="00712917"/>
    <w:rsid w:val="00713423"/>
    <w:rsid w:val="00714767"/>
    <w:rsid w:val="00714D4D"/>
    <w:rsid w:val="00715DA8"/>
    <w:rsid w:val="007165E8"/>
    <w:rsid w:val="00716A65"/>
    <w:rsid w:val="00716EAD"/>
    <w:rsid w:val="00716F27"/>
    <w:rsid w:val="00717504"/>
    <w:rsid w:val="00717DB9"/>
    <w:rsid w:val="007204AB"/>
    <w:rsid w:val="00720B17"/>
    <w:rsid w:val="00721516"/>
    <w:rsid w:val="0072358C"/>
    <w:rsid w:val="007236BB"/>
    <w:rsid w:val="00723918"/>
    <w:rsid w:val="007239CD"/>
    <w:rsid w:val="00723BB2"/>
    <w:rsid w:val="00723C04"/>
    <w:rsid w:val="0072402F"/>
    <w:rsid w:val="00724E1B"/>
    <w:rsid w:val="0072542A"/>
    <w:rsid w:val="007264D6"/>
    <w:rsid w:val="00726709"/>
    <w:rsid w:val="00726AE3"/>
    <w:rsid w:val="007316F1"/>
    <w:rsid w:val="00731B52"/>
    <w:rsid w:val="007328C3"/>
    <w:rsid w:val="00732B2C"/>
    <w:rsid w:val="00733B49"/>
    <w:rsid w:val="00734417"/>
    <w:rsid w:val="00734E75"/>
    <w:rsid w:val="007361E6"/>
    <w:rsid w:val="00736223"/>
    <w:rsid w:val="007364F9"/>
    <w:rsid w:val="0073663B"/>
    <w:rsid w:val="00736840"/>
    <w:rsid w:val="0073778E"/>
    <w:rsid w:val="00737D04"/>
    <w:rsid w:val="00737D1F"/>
    <w:rsid w:val="00737D72"/>
    <w:rsid w:val="00737F5C"/>
    <w:rsid w:val="007403DC"/>
    <w:rsid w:val="00741A39"/>
    <w:rsid w:val="00742260"/>
    <w:rsid w:val="00742F83"/>
    <w:rsid w:val="00743559"/>
    <w:rsid w:val="0074379F"/>
    <w:rsid w:val="00743841"/>
    <w:rsid w:val="00743DC2"/>
    <w:rsid w:val="00743F78"/>
    <w:rsid w:val="00744614"/>
    <w:rsid w:val="00745027"/>
    <w:rsid w:val="007451C2"/>
    <w:rsid w:val="00745A08"/>
    <w:rsid w:val="00746892"/>
    <w:rsid w:val="007468C7"/>
    <w:rsid w:val="00746C12"/>
    <w:rsid w:val="00747A35"/>
    <w:rsid w:val="00747ACF"/>
    <w:rsid w:val="00750579"/>
    <w:rsid w:val="00750601"/>
    <w:rsid w:val="00750EC0"/>
    <w:rsid w:val="007510C9"/>
    <w:rsid w:val="00751B8E"/>
    <w:rsid w:val="00751DD0"/>
    <w:rsid w:val="00752C21"/>
    <w:rsid w:val="00755440"/>
    <w:rsid w:val="00755A97"/>
    <w:rsid w:val="00755EF7"/>
    <w:rsid w:val="00756EFD"/>
    <w:rsid w:val="00757001"/>
    <w:rsid w:val="007574BE"/>
    <w:rsid w:val="007578DA"/>
    <w:rsid w:val="00757B83"/>
    <w:rsid w:val="0076072C"/>
    <w:rsid w:val="007609E5"/>
    <w:rsid w:val="00760B4A"/>
    <w:rsid w:val="00761143"/>
    <w:rsid w:val="00761CC5"/>
    <w:rsid w:val="00761D74"/>
    <w:rsid w:val="00761EBC"/>
    <w:rsid w:val="007626E1"/>
    <w:rsid w:val="007626F8"/>
    <w:rsid w:val="007627CB"/>
    <w:rsid w:val="0076430F"/>
    <w:rsid w:val="0076688D"/>
    <w:rsid w:val="0076749A"/>
    <w:rsid w:val="00770E4F"/>
    <w:rsid w:val="00771E7B"/>
    <w:rsid w:val="007725A8"/>
    <w:rsid w:val="00772626"/>
    <w:rsid w:val="007734D3"/>
    <w:rsid w:val="00773B50"/>
    <w:rsid w:val="00773FDA"/>
    <w:rsid w:val="00774CD7"/>
    <w:rsid w:val="007755D2"/>
    <w:rsid w:val="0077577D"/>
    <w:rsid w:val="00775A09"/>
    <w:rsid w:val="00775DCB"/>
    <w:rsid w:val="00775DFA"/>
    <w:rsid w:val="00776F42"/>
    <w:rsid w:val="007771A4"/>
    <w:rsid w:val="00780018"/>
    <w:rsid w:val="00781D7F"/>
    <w:rsid w:val="007820FC"/>
    <w:rsid w:val="00782826"/>
    <w:rsid w:val="00782C2F"/>
    <w:rsid w:val="0078436D"/>
    <w:rsid w:val="00784ACE"/>
    <w:rsid w:val="00784ADC"/>
    <w:rsid w:val="00784B93"/>
    <w:rsid w:val="0078534E"/>
    <w:rsid w:val="00786333"/>
    <w:rsid w:val="00786F23"/>
    <w:rsid w:val="00787396"/>
    <w:rsid w:val="00790A2C"/>
    <w:rsid w:val="00790DF6"/>
    <w:rsid w:val="007912CB"/>
    <w:rsid w:val="0079197C"/>
    <w:rsid w:val="00791EEA"/>
    <w:rsid w:val="00792077"/>
    <w:rsid w:val="00792174"/>
    <w:rsid w:val="007921F1"/>
    <w:rsid w:val="00793CA3"/>
    <w:rsid w:val="00796EA6"/>
    <w:rsid w:val="00797238"/>
    <w:rsid w:val="00797252"/>
    <w:rsid w:val="0079732F"/>
    <w:rsid w:val="0079767C"/>
    <w:rsid w:val="007A08EA"/>
    <w:rsid w:val="007A0BB8"/>
    <w:rsid w:val="007A0D83"/>
    <w:rsid w:val="007A1473"/>
    <w:rsid w:val="007A1B1C"/>
    <w:rsid w:val="007A1B3E"/>
    <w:rsid w:val="007A2B91"/>
    <w:rsid w:val="007A2D69"/>
    <w:rsid w:val="007A3C55"/>
    <w:rsid w:val="007A4011"/>
    <w:rsid w:val="007A4908"/>
    <w:rsid w:val="007A4A01"/>
    <w:rsid w:val="007A5005"/>
    <w:rsid w:val="007A5BB9"/>
    <w:rsid w:val="007A6007"/>
    <w:rsid w:val="007A6DC6"/>
    <w:rsid w:val="007A7DDB"/>
    <w:rsid w:val="007B11D7"/>
    <w:rsid w:val="007B1220"/>
    <w:rsid w:val="007B159C"/>
    <w:rsid w:val="007B16B4"/>
    <w:rsid w:val="007B17C3"/>
    <w:rsid w:val="007B180E"/>
    <w:rsid w:val="007B1E74"/>
    <w:rsid w:val="007B2861"/>
    <w:rsid w:val="007B3E0D"/>
    <w:rsid w:val="007B52D1"/>
    <w:rsid w:val="007B56FF"/>
    <w:rsid w:val="007B6E20"/>
    <w:rsid w:val="007B71EF"/>
    <w:rsid w:val="007B724A"/>
    <w:rsid w:val="007B724E"/>
    <w:rsid w:val="007B7487"/>
    <w:rsid w:val="007B760E"/>
    <w:rsid w:val="007B7808"/>
    <w:rsid w:val="007B7E3E"/>
    <w:rsid w:val="007C0801"/>
    <w:rsid w:val="007C0AE3"/>
    <w:rsid w:val="007C0DD6"/>
    <w:rsid w:val="007C0E0B"/>
    <w:rsid w:val="007C0FF3"/>
    <w:rsid w:val="007C1136"/>
    <w:rsid w:val="007C158C"/>
    <w:rsid w:val="007C16F0"/>
    <w:rsid w:val="007C1C94"/>
    <w:rsid w:val="007C1DCD"/>
    <w:rsid w:val="007C1F35"/>
    <w:rsid w:val="007C2458"/>
    <w:rsid w:val="007C25D6"/>
    <w:rsid w:val="007C33C9"/>
    <w:rsid w:val="007C3B1A"/>
    <w:rsid w:val="007C3D08"/>
    <w:rsid w:val="007C60BD"/>
    <w:rsid w:val="007C6312"/>
    <w:rsid w:val="007C6A2E"/>
    <w:rsid w:val="007C7714"/>
    <w:rsid w:val="007D06C0"/>
    <w:rsid w:val="007D077A"/>
    <w:rsid w:val="007D0A59"/>
    <w:rsid w:val="007D1919"/>
    <w:rsid w:val="007D20AC"/>
    <w:rsid w:val="007D2151"/>
    <w:rsid w:val="007D24EA"/>
    <w:rsid w:val="007D251D"/>
    <w:rsid w:val="007D280C"/>
    <w:rsid w:val="007D2D39"/>
    <w:rsid w:val="007D3343"/>
    <w:rsid w:val="007D3986"/>
    <w:rsid w:val="007D3E22"/>
    <w:rsid w:val="007D5A7C"/>
    <w:rsid w:val="007D5AE4"/>
    <w:rsid w:val="007D5CCA"/>
    <w:rsid w:val="007D62A6"/>
    <w:rsid w:val="007D63C2"/>
    <w:rsid w:val="007D6817"/>
    <w:rsid w:val="007D725B"/>
    <w:rsid w:val="007D7EE2"/>
    <w:rsid w:val="007E0000"/>
    <w:rsid w:val="007E20EB"/>
    <w:rsid w:val="007E3C58"/>
    <w:rsid w:val="007E4227"/>
    <w:rsid w:val="007E4A28"/>
    <w:rsid w:val="007E58F2"/>
    <w:rsid w:val="007E5BF8"/>
    <w:rsid w:val="007E6386"/>
    <w:rsid w:val="007E6DD3"/>
    <w:rsid w:val="007F06B2"/>
    <w:rsid w:val="007F1053"/>
    <w:rsid w:val="007F1123"/>
    <w:rsid w:val="007F1278"/>
    <w:rsid w:val="007F1B75"/>
    <w:rsid w:val="007F1DFF"/>
    <w:rsid w:val="007F2099"/>
    <w:rsid w:val="007F228A"/>
    <w:rsid w:val="007F245E"/>
    <w:rsid w:val="007F26F2"/>
    <w:rsid w:val="007F3620"/>
    <w:rsid w:val="007F3631"/>
    <w:rsid w:val="007F3A0A"/>
    <w:rsid w:val="007F4315"/>
    <w:rsid w:val="007F4937"/>
    <w:rsid w:val="007F498E"/>
    <w:rsid w:val="007F543D"/>
    <w:rsid w:val="007F6A48"/>
    <w:rsid w:val="007F7073"/>
    <w:rsid w:val="007F70D6"/>
    <w:rsid w:val="007F7536"/>
    <w:rsid w:val="0080090E"/>
    <w:rsid w:val="008009BC"/>
    <w:rsid w:val="0080140E"/>
    <w:rsid w:val="00801BF3"/>
    <w:rsid w:val="00801E57"/>
    <w:rsid w:val="00801F8E"/>
    <w:rsid w:val="00803130"/>
    <w:rsid w:val="00803789"/>
    <w:rsid w:val="0080449F"/>
    <w:rsid w:val="008045F3"/>
    <w:rsid w:val="008051BC"/>
    <w:rsid w:val="008057BE"/>
    <w:rsid w:val="008070AB"/>
    <w:rsid w:val="00807277"/>
    <w:rsid w:val="008075C3"/>
    <w:rsid w:val="008077F0"/>
    <w:rsid w:val="0081011B"/>
    <w:rsid w:val="0081049F"/>
    <w:rsid w:val="0081329B"/>
    <w:rsid w:val="0081329D"/>
    <w:rsid w:val="008133B0"/>
    <w:rsid w:val="00813C43"/>
    <w:rsid w:val="0081457C"/>
    <w:rsid w:val="00814817"/>
    <w:rsid w:val="00814E08"/>
    <w:rsid w:val="00814F8B"/>
    <w:rsid w:val="008151B6"/>
    <w:rsid w:val="00815A19"/>
    <w:rsid w:val="00815AD6"/>
    <w:rsid w:val="00816AA0"/>
    <w:rsid w:val="008175F1"/>
    <w:rsid w:val="0081762A"/>
    <w:rsid w:val="00821424"/>
    <w:rsid w:val="00822011"/>
    <w:rsid w:val="008222E5"/>
    <w:rsid w:val="008222EE"/>
    <w:rsid w:val="008227EA"/>
    <w:rsid w:val="00823556"/>
    <w:rsid w:val="008235C3"/>
    <w:rsid w:val="00823CC7"/>
    <w:rsid w:val="00824C2A"/>
    <w:rsid w:val="00825263"/>
    <w:rsid w:val="008253FE"/>
    <w:rsid w:val="0082572F"/>
    <w:rsid w:val="00826D46"/>
    <w:rsid w:val="008300DC"/>
    <w:rsid w:val="008303CA"/>
    <w:rsid w:val="00830EA7"/>
    <w:rsid w:val="00831110"/>
    <w:rsid w:val="008314EA"/>
    <w:rsid w:val="0083191D"/>
    <w:rsid w:val="008322CA"/>
    <w:rsid w:val="00832BDF"/>
    <w:rsid w:val="008340EF"/>
    <w:rsid w:val="0083417A"/>
    <w:rsid w:val="00834B68"/>
    <w:rsid w:val="00835436"/>
    <w:rsid w:val="008355E4"/>
    <w:rsid w:val="0083560F"/>
    <w:rsid w:val="0083567C"/>
    <w:rsid w:val="00836159"/>
    <w:rsid w:val="0083703E"/>
    <w:rsid w:val="00837BAF"/>
    <w:rsid w:val="00840859"/>
    <w:rsid w:val="00840C43"/>
    <w:rsid w:val="008421D7"/>
    <w:rsid w:val="0084220B"/>
    <w:rsid w:val="00842A0E"/>
    <w:rsid w:val="00842D39"/>
    <w:rsid w:val="00844659"/>
    <w:rsid w:val="00844A16"/>
    <w:rsid w:val="008450F5"/>
    <w:rsid w:val="0084615A"/>
    <w:rsid w:val="00847D91"/>
    <w:rsid w:val="00847E2F"/>
    <w:rsid w:val="0085176C"/>
    <w:rsid w:val="00851979"/>
    <w:rsid w:val="008519E3"/>
    <w:rsid w:val="00851B04"/>
    <w:rsid w:val="00851CB2"/>
    <w:rsid w:val="008521DE"/>
    <w:rsid w:val="008529BF"/>
    <w:rsid w:val="00853179"/>
    <w:rsid w:val="00854932"/>
    <w:rsid w:val="00854B36"/>
    <w:rsid w:val="0085543B"/>
    <w:rsid w:val="00855E7C"/>
    <w:rsid w:val="00856071"/>
    <w:rsid w:val="00856131"/>
    <w:rsid w:val="00856618"/>
    <w:rsid w:val="00856DF6"/>
    <w:rsid w:val="0085751E"/>
    <w:rsid w:val="00857838"/>
    <w:rsid w:val="00860AAA"/>
    <w:rsid w:val="00860E18"/>
    <w:rsid w:val="008613F2"/>
    <w:rsid w:val="00861B0D"/>
    <w:rsid w:val="0086234A"/>
    <w:rsid w:val="00863727"/>
    <w:rsid w:val="008652D0"/>
    <w:rsid w:val="008654B8"/>
    <w:rsid w:val="00867189"/>
    <w:rsid w:val="008673FE"/>
    <w:rsid w:val="00867790"/>
    <w:rsid w:val="00867FDB"/>
    <w:rsid w:val="00870413"/>
    <w:rsid w:val="00870BE2"/>
    <w:rsid w:val="00870DEB"/>
    <w:rsid w:val="0087274A"/>
    <w:rsid w:val="0087276F"/>
    <w:rsid w:val="0087366E"/>
    <w:rsid w:val="00873D89"/>
    <w:rsid w:val="00874D34"/>
    <w:rsid w:val="00880DD1"/>
    <w:rsid w:val="00880EEC"/>
    <w:rsid w:val="008812F3"/>
    <w:rsid w:val="00881DD9"/>
    <w:rsid w:val="008820C0"/>
    <w:rsid w:val="00882EC5"/>
    <w:rsid w:val="008834AB"/>
    <w:rsid w:val="0088351C"/>
    <w:rsid w:val="00884109"/>
    <w:rsid w:val="008849B1"/>
    <w:rsid w:val="008856E0"/>
    <w:rsid w:val="00885C3E"/>
    <w:rsid w:val="00886C37"/>
    <w:rsid w:val="00890376"/>
    <w:rsid w:val="008904E5"/>
    <w:rsid w:val="00890A52"/>
    <w:rsid w:val="00890BF2"/>
    <w:rsid w:val="008912D5"/>
    <w:rsid w:val="0089163B"/>
    <w:rsid w:val="00891F52"/>
    <w:rsid w:val="0089410B"/>
    <w:rsid w:val="00894656"/>
    <w:rsid w:val="008957FB"/>
    <w:rsid w:val="00896850"/>
    <w:rsid w:val="00896FB3"/>
    <w:rsid w:val="008971CA"/>
    <w:rsid w:val="00897676"/>
    <w:rsid w:val="00897C2F"/>
    <w:rsid w:val="008A0B2D"/>
    <w:rsid w:val="008A123B"/>
    <w:rsid w:val="008A1284"/>
    <w:rsid w:val="008A1622"/>
    <w:rsid w:val="008A27B6"/>
    <w:rsid w:val="008A2D8E"/>
    <w:rsid w:val="008A2DCE"/>
    <w:rsid w:val="008A4D7A"/>
    <w:rsid w:val="008A5281"/>
    <w:rsid w:val="008A5814"/>
    <w:rsid w:val="008A58E0"/>
    <w:rsid w:val="008A5D76"/>
    <w:rsid w:val="008A7DAB"/>
    <w:rsid w:val="008B011C"/>
    <w:rsid w:val="008B06AA"/>
    <w:rsid w:val="008B07AF"/>
    <w:rsid w:val="008B0DF0"/>
    <w:rsid w:val="008B1473"/>
    <w:rsid w:val="008B1969"/>
    <w:rsid w:val="008B29DD"/>
    <w:rsid w:val="008B3B5E"/>
    <w:rsid w:val="008B3CC3"/>
    <w:rsid w:val="008B3F59"/>
    <w:rsid w:val="008B48A8"/>
    <w:rsid w:val="008B5823"/>
    <w:rsid w:val="008B5DD5"/>
    <w:rsid w:val="008B5EE8"/>
    <w:rsid w:val="008B6040"/>
    <w:rsid w:val="008B79DB"/>
    <w:rsid w:val="008C029B"/>
    <w:rsid w:val="008C077D"/>
    <w:rsid w:val="008C1A86"/>
    <w:rsid w:val="008C2355"/>
    <w:rsid w:val="008C3F96"/>
    <w:rsid w:val="008C4DC5"/>
    <w:rsid w:val="008C5A2B"/>
    <w:rsid w:val="008C64BA"/>
    <w:rsid w:val="008C667C"/>
    <w:rsid w:val="008C68D3"/>
    <w:rsid w:val="008C6CE8"/>
    <w:rsid w:val="008C6DB1"/>
    <w:rsid w:val="008C7162"/>
    <w:rsid w:val="008C730D"/>
    <w:rsid w:val="008C7632"/>
    <w:rsid w:val="008D0A4B"/>
    <w:rsid w:val="008D1559"/>
    <w:rsid w:val="008D1766"/>
    <w:rsid w:val="008D1DB4"/>
    <w:rsid w:val="008D2C25"/>
    <w:rsid w:val="008D3F4B"/>
    <w:rsid w:val="008D43AB"/>
    <w:rsid w:val="008D5B0F"/>
    <w:rsid w:val="008D5D65"/>
    <w:rsid w:val="008D5DD5"/>
    <w:rsid w:val="008D611F"/>
    <w:rsid w:val="008D6193"/>
    <w:rsid w:val="008D61B2"/>
    <w:rsid w:val="008E16E2"/>
    <w:rsid w:val="008E1F11"/>
    <w:rsid w:val="008E232C"/>
    <w:rsid w:val="008E2356"/>
    <w:rsid w:val="008E369F"/>
    <w:rsid w:val="008E383B"/>
    <w:rsid w:val="008E3866"/>
    <w:rsid w:val="008E38DB"/>
    <w:rsid w:val="008E43B3"/>
    <w:rsid w:val="008E4609"/>
    <w:rsid w:val="008E4929"/>
    <w:rsid w:val="008E5000"/>
    <w:rsid w:val="008E568B"/>
    <w:rsid w:val="008E60BE"/>
    <w:rsid w:val="008E6624"/>
    <w:rsid w:val="008E72E0"/>
    <w:rsid w:val="008E7BDA"/>
    <w:rsid w:val="008F0089"/>
    <w:rsid w:val="008F016C"/>
    <w:rsid w:val="008F017B"/>
    <w:rsid w:val="008F0374"/>
    <w:rsid w:val="008F0CE2"/>
    <w:rsid w:val="008F1AA3"/>
    <w:rsid w:val="008F2220"/>
    <w:rsid w:val="008F2C49"/>
    <w:rsid w:val="008F2D21"/>
    <w:rsid w:val="008F35FF"/>
    <w:rsid w:val="008F374D"/>
    <w:rsid w:val="008F3951"/>
    <w:rsid w:val="008F3CE3"/>
    <w:rsid w:val="008F3CF5"/>
    <w:rsid w:val="008F3E8D"/>
    <w:rsid w:val="008F3E94"/>
    <w:rsid w:val="008F427A"/>
    <w:rsid w:val="008F4D88"/>
    <w:rsid w:val="008F5443"/>
    <w:rsid w:val="008F5EF8"/>
    <w:rsid w:val="008F68A2"/>
    <w:rsid w:val="008F7301"/>
    <w:rsid w:val="008F7448"/>
    <w:rsid w:val="008F7E6D"/>
    <w:rsid w:val="008F7F63"/>
    <w:rsid w:val="0090029A"/>
    <w:rsid w:val="009006A0"/>
    <w:rsid w:val="009038EB"/>
    <w:rsid w:val="00903AF0"/>
    <w:rsid w:val="00904259"/>
    <w:rsid w:val="009046C4"/>
    <w:rsid w:val="00904973"/>
    <w:rsid w:val="00904A8E"/>
    <w:rsid w:val="009051FB"/>
    <w:rsid w:val="0090520E"/>
    <w:rsid w:val="00905C8E"/>
    <w:rsid w:val="009061D9"/>
    <w:rsid w:val="00906B2B"/>
    <w:rsid w:val="00906CBB"/>
    <w:rsid w:val="00907587"/>
    <w:rsid w:val="00907ED6"/>
    <w:rsid w:val="009102C4"/>
    <w:rsid w:val="00910870"/>
    <w:rsid w:val="00910B5D"/>
    <w:rsid w:val="00912124"/>
    <w:rsid w:val="00912891"/>
    <w:rsid w:val="00912C7F"/>
    <w:rsid w:val="0091356A"/>
    <w:rsid w:val="009137A5"/>
    <w:rsid w:val="0091452B"/>
    <w:rsid w:val="00914B24"/>
    <w:rsid w:val="00915C8F"/>
    <w:rsid w:val="00916040"/>
    <w:rsid w:val="00917007"/>
    <w:rsid w:val="00917355"/>
    <w:rsid w:val="009174DD"/>
    <w:rsid w:val="00917535"/>
    <w:rsid w:val="00917F38"/>
    <w:rsid w:val="0092037A"/>
    <w:rsid w:val="009203DF"/>
    <w:rsid w:val="009206EF"/>
    <w:rsid w:val="00921096"/>
    <w:rsid w:val="00922740"/>
    <w:rsid w:val="00922A13"/>
    <w:rsid w:val="00922B78"/>
    <w:rsid w:val="00922F32"/>
    <w:rsid w:val="009230A8"/>
    <w:rsid w:val="00925EC5"/>
    <w:rsid w:val="009260EE"/>
    <w:rsid w:val="0092645A"/>
    <w:rsid w:val="009278BA"/>
    <w:rsid w:val="00927F9C"/>
    <w:rsid w:val="009305EA"/>
    <w:rsid w:val="00930728"/>
    <w:rsid w:val="009308DB"/>
    <w:rsid w:val="00930DB8"/>
    <w:rsid w:val="00931072"/>
    <w:rsid w:val="00931596"/>
    <w:rsid w:val="0093194D"/>
    <w:rsid w:val="00931AFD"/>
    <w:rsid w:val="00931F40"/>
    <w:rsid w:val="00932683"/>
    <w:rsid w:val="009334E9"/>
    <w:rsid w:val="0093409A"/>
    <w:rsid w:val="00934191"/>
    <w:rsid w:val="00934B2B"/>
    <w:rsid w:val="009355FF"/>
    <w:rsid w:val="009365E0"/>
    <w:rsid w:val="009370A4"/>
    <w:rsid w:val="009401B7"/>
    <w:rsid w:val="00940B64"/>
    <w:rsid w:val="009411B7"/>
    <w:rsid w:val="00941A4B"/>
    <w:rsid w:val="00942378"/>
    <w:rsid w:val="0094349C"/>
    <w:rsid w:val="00943658"/>
    <w:rsid w:val="00943B09"/>
    <w:rsid w:val="00943C40"/>
    <w:rsid w:val="00944121"/>
    <w:rsid w:val="009445AF"/>
    <w:rsid w:val="00945052"/>
    <w:rsid w:val="009457CF"/>
    <w:rsid w:val="00945BF2"/>
    <w:rsid w:val="0094680B"/>
    <w:rsid w:val="00946A1B"/>
    <w:rsid w:val="00947052"/>
    <w:rsid w:val="009473C9"/>
    <w:rsid w:val="0094781B"/>
    <w:rsid w:val="00947832"/>
    <w:rsid w:val="009478CD"/>
    <w:rsid w:val="00950B5E"/>
    <w:rsid w:val="009515D0"/>
    <w:rsid w:val="0095167F"/>
    <w:rsid w:val="00951D73"/>
    <w:rsid w:val="00951E4B"/>
    <w:rsid w:val="00952641"/>
    <w:rsid w:val="009529F6"/>
    <w:rsid w:val="009532A2"/>
    <w:rsid w:val="009533DF"/>
    <w:rsid w:val="0095353F"/>
    <w:rsid w:val="00953858"/>
    <w:rsid w:val="0095598C"/>
    <w:rsid w:val="00955ED2"/>
    <w:rsid w:val="009564C4"/>
    <w:rsid w:val="0095652E"/>
    <w:rsid w:val="00956A74"/>
    <w:rsid w:val="00957458"/>
    <w:rsid w:val="00957A46"/>
    <w:rsid w:val="00960341"/>
    <w:rsid w:val="009608E7"/>
    <w:rsid w:val="0096104C"/>
    <w:rsid w:val="009610BE"/>
    <w:rsid w:val="00961325"/>
    <w:rsid w:val="00961BB7"/>
    <w:rsid w:val="009621AF"/>
    <w:rsid w:val="009637F0"/>
    <w:rsid w:val="009639BF"/>
    <w:rsid w:val="009660A2"/>
    <w:rsid w:val="0096620C"/>
    <w:rsid w:val="0096733F"/>
    <w:rsid w:val="0096749F"/>
    <w:rsid w:val="00967A73"/>
    <w:rsid w:val="009705DD"/>
    <w:rsid w:val="009709B5"/>
    <w:rsid w:val="00972914"/>
    <w:rsid w:val="009736C4"/>
    <w:rsid w:val="0097392B"/>
    <w:rsid w:val="00974358"/>
    <w:rsid w:val="009747A4"/>
    <w:rsid w:val="0097496C"/>
    <w:rsid w:val="00974B1D"/>
    <w:rsid w:val="00974BCA"/>
    <w:rsid w:val="009751EC"/>
    <w:rsid w:val="00977064"/>
    <w:rsid w:val="00977100"/>
    <w:rsid w:val="00977BCB"/>
    <w:rsid w:val="009803F3"/>
    <w:rsid w:val="009815E9"/>
    <w:rsid w:val="00981873"/>
    <w:rsid w:val="0098244A"/>
    <w:rsid w:val="0098383F"/>
    <w:rsid w:val="0098460A"/>
    <w:rsid w:val="009848AA"/>
    <w:rsid w:val="009853F9"/>
    <w:rsid w:val="00985F8C"/>
    <w:rsid w:val="009861D2"/>
    <w:rsid w:val="009864DA"/>
    <w:rsid w:val="00987E44"/>
    <w:rsid w:val="00990B14"/>
    <w:rsid w:val="00991DD1"/>
    <w:rsid w:val="00992143"/>
    <w:rsid w:val="009923EA"/>
    <w:rsid w:val="00992ADE"/>
    <w:rsid w:val="00992B1D"/>
    <w:rsid w:val="00993116"/>
    <w:rsid w:val="009931E5"/>
    <w:rsid w:val="0099387A"/>
    <w:rsid w:val="00994654"/>
    <w:rsid w:val="00995E9F"/>
    <w:rsid w:val="00997AA0"/>
    <w:rsid w:val="009A0C07"/>
    <w:rsid w:val="009A1128"/>
    <w:rsid w:val="009A1369"/>
    <w:rsid w:val="009A2391"/>
    <w:rsid w:val="009A2BF1"/>
    <w:rsid w:val="009A3E40"/>
    <w:rsid w:val="009A4193"/>
    <w:rsid w:val="009A447C"/>
    <w:rsid w:val="009A4BB0"/>
    <w:rsid w:val="009A4C90"/>
    <w:rsid w:val="009A559E"/>
    <w:rsid w:val="009A5DB5"/>
    <w:rsid w:val="009A6A0A"/>
    <w:rsid w:val="009A7003"/>
    <w:rsid w:val="009A76CC"/>
    <w:rsid w:val="009A7B97"/>
    <w:rsid w:val="009B141A"/>
    <w:rsid w:val="009B18D1"/>
    <w:rsid w:val="009B2B34"/>
    <w:rsid w:val="009B2B4F"/>
    <w:rsid w:val="009B2BBC"/>
    <w:rsid w:val="009B2F0F"/>
    <w:rsid w:val="009B32A8"/>
    <w:rsid w:val="009B4997"/>
    <w:rsid w:val="009B5947"/>
    <w:rsid w:val="009B6066"/>
    <w:rsid w:val="009B6CF8"/>
    <w:rsid w:val="009B711F"/>
    <w:rsid w:val="009B7746"/>
    <w:rsid w:val="009B7857"/>
    <w:rsid w:val="009C193F"/>
    <w:rsid w:val="009C1AEE"/>
    <w:rsid w:val="009C3667"/>
    <w:rsid w:val="009C5AA3"/>
    <w:rsid w:val="009C6D81"/>
    <w:rsid w:val="009C721D"/>
    <w:rsid w:val="009D11B3"/>
    <w:rsid w:val="009D125F"/>
    <w:rsid w:val="009D1932"/>
    <w:rsid w:val="009D3A78"/>
    <w:rsid w:val="009D3E34"/>
    <w:rsid w:val="009D3FA5"/>
    <w:rsid w:val="009D474D"/>
    <w:rsid w:val="009D5C0F"/>
    <w:rsid w:val="009D6971"/>
    <w:rsid w:val="009D7711"/>
    <w:rsid w:val="009E0B06"/>
    <w:rsid w:val="009E1BCB"/>
    <w:rsid w:val="009E2BDB"/>
    <w:rsid w:val="009E310F"/>
    <w:rsid w:val="009E322E"/>
    <w:rsid w:val="009E331B"/>
    <w:rsid w:val="009E341E"/>
    <w:rsid w:val="009E4049"/>
    <w:rsid w:val="009E40F4"/>
    <w:rsid w:val="009E44CC"/>
    <w:rsid w:val="009E45B7"/>
    <w:rsid w:val="009E4AF8"/>
    <w:rsid w:val="009E4BA8"/>
    <w:rsid w:val="009E5546"/>
    <w:rsid w:val="009E561F"/>
    <w:rsid w:val="009E567E"/>
    <w:rsid w:val="009E5814"/>
    <w:rsid w:val="009E61B2"/>
    <w:rsid w:val="009E6CFB"/>
    <w:rsid w:val="009E72B0"/>
    <w:rsid w:val="009E7E92"/>
    <w:rsid w:val="009F0218"/>
    <w:rsid w:val="009F0564"/>
    <w:rsid w:val="009F0604"/>
    <w:rsid w:val="009F0ED5"/>
    <w:rsid w:val="009F10F6"/>
    <w:rsid w:val="009F19E8"/>
    <w:rsid w:val="009F1D33"/>
    <w:rsid w:val="009F1E7A"/>
    <w:rsid w:val="009F26C4"/>
    <w:rsid w:val="009F4225"/>
    <w:rsid w:val="009F43E0"/>
    <w:rsid w:val="009F456C"/>
    <w:rsid w:val="009F47D8"/>
    <w:rsid w:val="009F4A59"/>
    <w:rsid w:val="009F4A6E"/>
    <w:rsid w:val="009F4A74"/>
    <w:rsid w:val="009F502F"/>
    <w:rsid w:val="009F5407"/>
    <w:rsid w:val="009F5FAE"/>
    <w:rsid w:val="009F5FD7"/>
    <w:rsid w:val="00A0092C"/>
    <w:rsid w:val="00A00D40"/>
    <w:rsid w:val="00A0199A"/>
    <w:rsid w:val="00A01D10"/>
    <w:rsid w:val="00A026C2"/>
    <w:rsid w:val="00A02C97"/>
    <w:rsid w:val="00A02D72"/>
    <w:rsid w:val="00A033E3"/>
    <w:rsid w:val="00A04BCA"/>
    <w:rsid w:val="00A04BF0"/>
    <w:rsid w:val="00A04F09"/>
    <w:rsid w:val="00A05D9B"/>
    <w:rsid w:val="00A07EC5"/>
    <w:rsid w:val="00A101D9"/>
    <w:rsid w:val="00A11048"/>
    <w:rsid w:val="00A11F68"/>
    <w:rsid w:val="00A11FE8"/>
    <w:rsid w:val="00A1209A"/>
    <w:rsid w:val="00A12F64"/>
    <w:rsid w:val="00A12F80"/>
    <w:rsid w:val="00A13221"/>
    <w:rsid w:val="00A133E0"/>
    <w:rsid w:val="00A13B2B"/>
    <w:rsid w:val="00A147F5"/>
    <w:rsid w:val="00A14859"/>
    <w:rsid w:val="00A14E60"/>
    <w:rsid w:val="00A14E88"/>
    <w:rsid w:val="00A16373"/>
    <w:rsid w:val="00A16455"/>
    <w:rsid w:val="00A16CD1"/>
    <w:rsid w:val="00A1783C"/>
    <w:rsid w:val="00A17B4B"/>
    <w:rsid w:val="00A17DA0"/>
    <w:rsid w:val="00A21183"/>
    <w:rsid w:val="00A213A1"/>
    <w:rsid w:val="00A2152C"/>
    <w:rsid w:val="00A2229E"/>
    <w:rsid w:val="00A22628"/>
    <w:rsid w:val="00A23BE5"/>
    <w:rsid w:val="00A2401C"/>
    <w:rsid w:val="00A246CA"/>
    <w:rsid w:val="00A25071"/>
    <w:rsid w:val="00A256D9"/>
    <w:rsid w:val="00A26789"/>
    <w:rsid w:val="00A26B05"/>
    <w:rsid w:val="00A274C0"/>
    <w:rsid w:val="00A27ABC"/>
    <w:rsid w:val="00A3023B"/>
    <w:rsid w:val="00A30AB2"/>
    <w:rsid w:val="00A30D07"/>
    <w:rsid w:val="00A31344"/>
    <w:rsid w:val="00A31469"/>
    <w:rsid w:val="00A315CA"/>
    <w:rsid w:val="00A31654"/>
    <w:rsid w:val="00A31B2E"/>
    <w:rsid w:val="00A321E3"/>
    <w:rsid w:val="00A3248D"/>
    <w:rsid w:val="00A34D37"/>
    <w:rsid w:val="00A3543C"/>
    <w:rsid w:val="00A36189"/>
    <w:rsid w:val="00A36BC1"/>
    <w:rsid w:val="00A37CAD"/>
    <w:rsid w:val="00A37DB3"/>
    <w:rsid w:val="00A4007F"/>
    <w:rsid w:val="00A401E3"/>
    <w:rsid w:val="00A407EE"/>
    <w:rsid w:val="00A41CF5"/>
    <w:rsid w:val="00A41DDF"/>
    <w:rsid w:val="00A428DD"/>
    <w:rsid w:val="00A42BC6"/>
    <w:rsid w:val="00A42D01"/>
    <w:rsid w:val="00A430BE"/>
    <w:rsid w:val="00A43287"/>
    <w:rsid w:val="00A44265"/>
    <w:rsid w:val="00A44542"/>
    <w:rsid w:val="00A45C1A"/>
    <w:rsid w:val="00A45C77"/>
    <w:rsid w:val="00A45FC5"/>
    <w:rsid w:val="00A46A9F"/>
    <w:rsid w:val="00A47306"/>
    <w:rsid w:val="00A47968"/>
    <w:rsid w:val="00A47DDE"/>
    <w:rsid w:val="00A50280"/>
    <w:rsid w:val="00A5037F"/>
    <w:rsid w:val="00A50589"/>
    <w:rsid w:val="00A509A9"/>
    <w:rsid w:val="00A50DA4"/>
    <w:rsid w:val="00A51BA3"/>
    <w:rsid w:val="00A51F82"/>
    <w:rsid w:val="00A5253D"/>
    <w:rsid w:val="00A52830"/>
    <w:rsid w:val="00A54FCF"/>
    <w:rsid w:val="00A5594F"/>
    <w:rsid w:val="00A55BF1"/>
    <w:rsid w:val="00A55E2A"/>
    <w:rsid w:val="00A56371"/>
    <w:rsid w:val="00A564AE"/>
    <w:rsid w:val="00A5695F"/>
    <w:rsid w:val="00A5733A"/>
    <w:rsid w:val="00A5736F"/>
    <w:rsid w:val="00A57473"/>
    <w:rsid w:val="00A6129D"/>
    <w:rsid w:val="00A61932"/>
    <w:rsid w:val="00A61976"/>
    <w:rsid w:val="00A62D02"/>
    <w:rsid w:val="00A63086"/>
    <w:rsid w:val="00A634A8"/>
    <w:rsid w:val="00A6355F"/>
    <w:rsid w:val="00A6377E"/>
    <w:rsid w:val="00A6398A"/>
    <w:rsid w:val="00A63F7E"/>
    <w:rsid w:val="00A64192"/>
    <w:rsid w:val="00A64BB2"/>
    <w:rsid w:val="00A666CB"/>
    <w:rsid w:val="00A6720D"/>
    <w:rsid w:val="00A67332"/>
    <w:rsid w:val="00A67C93"/>
    <w:rsid w:val="00A67ED7"/>
    <w:rsid w:val="00A701FC"/>
    <w:rsid w:val="00A71175"/>
    <w:rsid w:val="00A713E3"/>
    <w:rsid w:val="00A713F4"/>
    <w:rsid w:val="00A7152D"/>
    <w:rsid w:val="00A71757"/>
    <w:rsid w:val="00A71841"/>
    <w:rsid w:val="00A71D1C"/>
    <w:rsid w:val="00A72363"/>
    <w:rsid w:val="00A72468"/>
    <w:rsid w:val="00A7252E"/>
    <w:rsid w:val="00A729AD"/>
    <w:rsid w:val="00A72F52"/>
    <w:rsid w:val="00A732D2"/>
    <w:rsid w:val="00A75202"/>
    <w:rsid w:val="00A76D16"/>
    <w:rsid w:val="00A77366"/>
    <w:rsid w:val="00A8082F"/>
    <w:rsid w:val="00A80E6F"/>
    <w:rsid w:val="00A81078"/>
    <w:rsid w:val="00A81965"/>
    <w:rsid w:val="00A822F4"/>
    <w:rsid w:val="00A82971"/>
    <w:rsid w:val="00A82FDB"/>
    <w:rsid w:val="00A838B2"/>
    <w:rsid w:val="00A8428F"/>
    <w:rsid w:val="00A85E30"/>
    <w:rsid w:val="00A85EA8"/>
    <w:rsid w:val="00A86642"/>
    <w:rsid w:val="00A8672A"/>
    <w:rsid w:val="00A907CD"/>
    <w:rsid w:val="00A909EE"/>
    <w:rsid w:val="00A90E97"/>
    <w:rsid w:val="00A9173B"/>
    <w:rsid w:val="00A92096"/>
    <w:rsid w:val="00A93017"/>
    <w:rsid w:val="00A931E9"/>
    <w:rsid w:val="00A936CB"/>
    <w:rsid w:val="00A93714"/>
    <w:rsid w:val="00A93AA5"/>
    <w:rsid w:val="00A94037"/>
    <w:rsid w:val="00A95071"/>
    <w:rsid w:val="00A95A08"/>
    <w:rsid w:val="00A966E6"/>
    <w:rsid w:val="00A96833"/>
    <w:rsid w:val="00A96C7B"/>
    <w:rsid w:val="00AA1138"/>
    <w:rsid w:val="00AA1B70"/>
    <w:rsid w:val="00AA2096"/>
    <w:rsid w:val="00AA246A"/>
    <w:rsid w:val="00AA28E8"/>
    <w:rsid w:val="00AA2BFE"/>
    <w:rsid w:val="00AA3F9A"/>
    <w:rsid w:val="00AA43C0"/>
    <w:rsid w:val="00AA44A2"/>
    <w:rsid w:val="00AA4DFD"/>
    <w:rsid w:val="00AA549C"/>
    <w:rsid w:val="00AA5A04"/>
    <w:rsid w:val="00AA5A5F"/>
    <w:rsid w:val="00AA5F73"/>
    <w:rsid w:val="00AA7A6D"/>
    <w:rsid w:val="00AA7EB6"/>
    <w:rsid w:val="00AB038A"/>
    <w:rsid w:val="00AB0980"/>
    <w:rsid w:val="00AB263F"/>
    <w:rsid w:val="00AB3247"/>
    <w:rsid w:val="00AB4134"/>
    <w:rsid w:val="00AB440A"/>
    <w:rsid w:val="00AB61B8"/>
    <w:rsid w:val="00AB6393"/>
    <w:rsid w:val="00AB700B"/>
    <w:rsid w:val="00AC03B2"/>
    <w:rsid w:val="00AC05EA"/>
    <w:rsid w:val="00AC06B1"/>
    <w:rsid w:val="00AC17C3"/>
    <w:rsid w:val="00AC2D56"/>
    <w:rsid w:val="00AC3377"/>
    <w:rsid w:val="00AC402A"/>
    <w:rsid w:val="00AC57FB"/>
    <w:rsid w:val="00AC5B62"/>
    <w:rsid w:val="00AC7DF6"/>
    <w:rsid w:val="00AD02B7"/>
    <w:rsid w:val="00AD03C6"/>
    <w:rsid w:val="00AD068C"/>
    <w:rsid w:val="00AD082B"/>
    <w:rsid w:val="00AD0F55"/>
    <w:rsid w:val="00AD21CE"/>
    <w:rsid w:val="00AD36BE"/>
    <w:rsid w:val="00AD3886"/>
    <w:rsid w:val="00AD3A94"/>
    <w:rsid w:val="00AD3BC9"/>
    <w:rsid w:val="00AD3D09"/>
    <w:rsid w:val="00AD3F05"/>
    <w:rsid w:val="00AD3F26"/>
    <w:rsid w:val="00AD42CA"/>
    <w:rsid w:val="00AD5E08"/>
    <w:rsid w:val="00AD6257"/>
    <w:rsid w:val="00AD64DF"/>
    <w:rsid w:val="00AD67C2"/>
    <w:rsid w:val="00AD7487"/>
    <w:rsid w:val="00AD7D14"/>
    <w:rsid w:val="00AD7F2B"/>
    <w:rsid w:val="00AD7F56"/>
    <w:rsid w:val="00AE0974"/>
    <w:rsid w:val="00AE1E67"/>
    <w:rsid w:val="00AE2205"/>
    <w:rsid w:val="00AE4BB9"/>
    <w:rsid w:val="00AE4F5C"/>
    <w:rsid w:val="00AE51A1"/>
    <w:rsid w:val="00AE52AC"/>
    <w:rsid w:val="00AE6674"/>
    <w:rsid w:val="00AE7099"/>
    <w:rsid w:val="00AE72B9"/>
    <w:rsid w:val="00AE79B9"/>
    <w:rsid w:val="00AF04A1"/>
    <w:rsid w:val="00AF0BD2"/>
    <w:rsid w:val="00AF1133"/>
    <w:rsid w:val="00AF19A5"/>
    <w:rsid w:val="00AF1F52"/>
    <w:rsid w:val="00AF2195"/>
    <w:rsid w:val="00AF21B7"/>
    <w:rsid w:val="00AF21DA"/>
    <w:rsid w:val="00AF229E"/>
    <w:rsid w:val="00AF3308"/>
    <w:rsid w:val="00AF3510"/>
    <w:rsid w:val="00AF43CF"/>
    <w:rsid w:val="00AF4994"/>
    <w:rsid w:val="00AF522E"/>
    <w:rsid w:val="00AF5669"/>
    <w:rsid w:val="00AF5A75"/>
    <w:rsid w:val="00AF5F58"/>
    <w:rsid w:val="00AF6534"/>
    <w:rsid w:val="00AF6B7F"/>
    <w:rsid w:val="00AF6C6B"/>
    <w:rsid w:val="00AF6CD2"/>
    <w:rsid w:val="00AF6E0A"/>
    <w:rsid w:val="00AF792B"/>
    <w:rsid w:val="00B001CB"/>
    <w:rsid w:val="00B00DAA"/>
    <w:rsid w:val="00B01AC2"/>
    <w:rsid w:val="00B0214A"/>
    <w:rsid w:val="00B021BB"/>
    <w:rsid w:val="00B025A9"/>
    <w:rsid w:val="00B03236"/>
    <w:rsid w:val="00B03DBA"/>
    <w:rsid w:val="00B043C0"/>
    <w:rsid w:val="00B052FC"/>
    <w:rsid w:val="00B0588D"/>
    <w:rsid w:val="00B05CC4"/>
    <w:rsid w:val="00B0623F"/>
    <w:rsid w:val="00B10409"/>
    <w:rsid w:val="00B1093E"/>
    <w:rsid w:val="00B109CD"/>
    <w:rsid w:val="00B10D69"/>
    <w:rsid w:val="00B12002"/>
    <w:rsid w:val="00B12DCA"/>
    <w:rsid w:val="00B12EE6"/>
    <w:rsid w:val="00B144AB"/>
    <w:rsid w:val="00B14F44"/>
    <w:rsid w:val="00B16603"/>
    <w:rsid w:val="00B16947"/>
    <w:rsid w:val="00B17EBB"/>
    <w:rsid w:val="00B20D71"/>
    <w:rsid w:val="00B212CC"/>
    <w:rsid w:val="00B21371"/>
    <w:rsid w:val="00B21435"/>
    <w:rsid w:val="00B21605"/>
    <w:rsid w:val="00B21651"/>
    <w:rsid w:val="00B21677"/>
    <w:rsid w:val="00B21EC1"/>
    <w:rsid w:val="00B23512"/>
    <w:rsid w:val="00B235A1"/>
    <w:rsid w:val="00B235CF"/>
    <w:rsid w:val="00B27399"/>
    <w:rsid w:val="00B275B8"/>
    <w:rsid w:val="00B278DA"/>
    <w:rsid w:val="00B27BE8"/>
    <w:rsid w:val="00B306BF"/>
    <w:rsid w:val="00B3212B"/>
    <w:rsid w:val="00B33561"/>
    <w:rsid w:val="00B347D3"/>
    <w:rsid w:val="00B34FDE"/>
    <w:rsid w:val="00B354C8"/>
    <w:rsid w:val="00B35AC7"/>
    <w:rsid w:val="00B35BE7"/>
    <w:rsid w:val="00B360B8"/>
    <w:rsid w:val="00B361A3"/>
    <w:rsid w:val="00B36AFE"/>
    <w:rsid w:val="00B3712F"/>
    <w:rsid w:val="00B40A16"/>
    <w:rsid w:val="00B414F8"/>
    <w:rsid w:val="00B41980"/>
    <w:rsid w:val="00B41CBC"/>
    <w:rsid w:val="00B42A23"/>
    <w:rsid w:val="00B42B76"/>
    <w:rsid w:val="00B43094"/>
    <w:rsid w:val="00B4482A"/>
    <w:rsid w:val="00B450C7"/>
    <w:rsid w:val="00B45A15"/>
    <w:rsid w:val="00B45D5A"/>
    <w:rsid w:val="00B461B4"/>
    <w:rsid w:val="00B4653C"/>
    <w:rsid w:val="00B479CD"/>
    <w:rsid w:val="00B5035C"/>
    <w:rsid w:val="00B519A3"/>
    <w:rsid w:val="00B51CA4"/>
    <w:rsid w:val="00B51E64"/>
    <w:rsid w:val="00B524A8"/>
    <w:rsid w:val="00B52CA6"/>
    <w:rsid w:val="00B53273"/>
    <w:rsid w:val="00B546FA"/>
    <w:rsid w:val="00B549A6"/>
    <w:rsid w:val="00B55508"/>
    <w:rsid w:val="00B56334"/>
    <w:rsid w:val="00B5711D"/>
    <w:rsid w:val="00B57187"/>
    <w:rsid w:val="00B57CDD"/>
    <w:rsid w:val="00B57E2F"/>
    <w:rsid w:val="00B60893"/>
    <w:rsid w:val="00B6155E"/>
    <w:rsid w:val="00B630B1"/>
    <w:rsid w:val="00B63DA5"/>
    <w:rsid w:val="00B64060"/>
    <w:rsid w:val="00B64537"/>
    <w:rsid w:val="00B65AD0"/>
    <w:rsid w:val="00B65D4E"/>
    <w:rsid w:val="00B6691B"/>
    <w:rsid w:val="00B66928"/>
    <w:rsid w:val="00B67184"/>
    <w:rsid w:val="00B67A10"/>
    <w:rsid w:val="00B715BC"/>
    <w:rsid w:val="00B7194E"/>
    <w:rsid w:val="00B720B1"/>
    <w:rsid w:val="00B7238F"/>
    <w:rsid w:val="00B7257B"/>
    <w:rsid w:val="00B72C58"/>
    <w:rsid w:val="00B73DB1"/>
    <w:rsid w:val="00B7428F"/>
    <w:rsid w:val="00B74665"/>
    <w:rsid w:val="00B74828"/>
    <w:rsid w:val="00B753A2"/>
    <w:rsid w:val="00B75D84"/>
    <w:rsid w:val="00B75E37"/>
    <w:rsid w:val="00B76512"/>
    <w:rsid w:val="00B76FC0"/>
    <w:rsid w:val="00B77994"/>
    <w:rsid w:val="00B80134"/>
    <w:rsid w:val="00B81542"/>
    <w:rsid w:val="00B8163E"/>
    <w:rsid w:val="00B823BB"/>
    <w:rsid w:val="00B839C6"/>
    <w:rsid w:val="00B83AAC"/>
    <w:rsid w:val="00B83D6F"/>
    <w:rsid w:val="00B85BA4"/>
    <w:rsid w:val="00B86A8C"/>
    <w:rsid w:val="00B86E34"/>
    <w:rsid w:val="00B87247"/>
    <w:rsid w:val="00B907BA"/>
    <w:rsid w:val="00B90D79"/>
    <w:rsid w:val="00B91CE0"/>
    <w:rsid w:val="00B92526"/>
    <w:rsid w:val="00B93173"/>
    <w:rsid w:val="00B93356"/>
    <w:rsid w:val="00B93785"/>
    <w:rsid w:val="00B9387A"/>
    <w:rsid w:val="00B93A6B"/>
    <w:rsid w:val="00B93C15"/>
    <w:rsid w:val="00B946EC"/>
    <w:rsid w:val="00B94DC4"/>
    <w:rsid w:val="00B94E80"/>
    <w:rsid w:val="00B95392"/>
    <w:rsid w:val="00B9581D"/>
    <w:rsid w:val="00B9582E"/>
    <w:rsid w:val="00B96776"/>
    <w:rsid w:val="00B96FA1"/>
    <w:rsid w:val="00B96FE7"/>
    <w:rsid w:val="00BA176A"/>
    <w:rsid w:val="00BA24FC"/>
    <w:rsid w:val="00BA2CB2"/>
    <w:rsid w:val="00BA2DB4"/>
    <w:rsid w:val="00BA2E01"/>
    <w:rsid w:val="00BA2E62"/>
    <w:rsid w:val="00BA3C28"/>
    <w:rsid w:val="00BA4C56"/>
    <w:rsid w:val="00BA62E5"/>
    <w:rsid w:val="00BA633B"/>
    <w:rsid w:val="00BA64CC"/>
    <w:rsid w:val="00BA6CA5"/>
    <w:rsid w:val="00BA6E66"/>
    <w:rsid w:val="00BA6F6C"/>
    <w:rsid w:val="00BA7768"/>
    <w:rsid w:val="00BA7F0B"/>
    <w:rsid w:val="00BB0D56"/>
    <w:rsid w:val="00BB1DC0"/>
    <w:rsid w:val="00BB1EE0"/>
    <w:rsid w:val="00BB2171"/>
    <w:rsid w:val="00BB2A97"/>
    <w:rsid w:val="00BB3EB0"/>
    <w:rsid w:val="00BB3F99"/>
    <w:rsid w:val="00BB416F"/>
    <w:rsid w:val="00BB4598"/>
    <w:rsid w:val="00BB47BB"/>
    <w:rsid w:val="00BB5B2A"/>
    <w:rsid w:val="00BB776E"/>
    <w:rsid w:val="00BB7A29"/>
    <w:rsid w:val="00BC0467"/>
    <w:rsid w:val="00BC09FA"/>
    <w:rsid w:val="00BC1035"/>
    <w:rsid w:val="00BC36D3"/>
    <w:rsid w:val="00BC3D06"/>
    <w:rsid w:val="00BC3F5A"/>
    <w:rsid w:val="00BC4358"/>
    <w:rsid w:val="00BC482B"/>
    <w:rsid w:val="00BC5109"/>
    <w:rsid w:val="00BC5ABF"/>
    <w:rsid w:val="00BC6461"/>
    <w:rsid w:val="00BC6B6D"/>
    <w:rsid w:val="00BC6C82"/>
    <w:rsid w:val="00BC750A"/>
    <w:rsid w:val="00BD0208"/>
    <w:rsid w:val="00BD0B28"/>
    <w:rsid w:val="00BD0DE6"/>
    <w:rsid w:val="00BD1566"/>
    <w:rsid w:val="00BD1FAE"/>
    <w:rsid w:val="00BD21BE"/>
    <w:rsid w:val="00BD286B"/>
    <w:rsid w:val="00BD32B6"/>
    <w:rsid w:val="00BD499F"/>
    <w:rsid w:val="00BD5B49"/>
    <w:rsid w:val="00BD60A0"/>
    <w:rsid w:val="00BD6A46"/>
    <w:rsid w:val="00BD6DFE"/>
    <w:rsid w:val="00BD77CD"/>
    <w:rsid w:val="00BE0A29"/>
    <w:rsid w:val="00BE0C18"/>
    <w:rsid w:val="00BE0EDC"/>
    <w:rsid w:val="00BE0F23"/>
    <w:rsid w:val="00BE131F"/>
    <w:rsid w:val="00BE140C"/>
    <w:rsid w:val="00BE1493"/>
    <w:rsid w:val="00BE1BA7"/>
    <w:rsid w:val="00BE1FC8"/>
    <w:rsid w:val="00BE23EC"/>
    <w:rsid w:val="00BE3811"/>
    <w:rsid w:val="00BE3CE6"/>
    <w:rsid w:val="00BE4493"/>
    <w:rsid w:val="00BE46F8"/>
    <w:rsid w:val="00BE4C16"/>
    <w:rsid w:val="00BE5B92"/>
    <w:rsid w:val="00BE65DD"/>
    <w:rsid w:val="00BE665A"/>
    <w:rsid w:val="00BE6DA0"/>
    <w:rsid w:val="00BE7743"/>
    <w:rsid w:val="00BF0273"/>
    <w:rsid w:val="00BF046E"/>
    <w:rsid w:val="00BF0540"/>
    <w:rsid w:val="00BF0C0F"/>
    <w:rsid w:val="00BF1486"/>
    <w:rsid w:val="00BF159E"/>
    <w:rsid w:val="00BF17FB"/>
    <w:rsid w:val="00BF1A16"/>
    <w:rsid w:val="00BF1F1A"/>
    <w:rsid w:val="00BF24E8"/>
    <w:rsid w:val="00BF347B"/>
    <w:rsid w:val="00BF37B0"/>
    <w:rsid w:val="00BF3A7D"/>
    <w:rsid w:val="00BF51FA"/>
    <w:rsid w:val="00BF56A3"/>
    <w:rsid w:val="00BF5B3A"/>
    <w:rsid w:val="00BF5E32"/>
    <w:rsid w:val="00BF6ACF"/>
    <w:rsid w:val="00BF6D21"/>
    <w:rsid w:val="00BF7F33"/>
    <w:rsid w:val="00C00196"/>
    <w:rsid w:val="00C008C6"/>
    <w:rsid w:val="00C00DD0"/>
    <w:rsid w:val="00C016B3"/>
    <w:rsid w:val="00C02066"/>
    <w:rsid w:val="00C026F3"/>
    <w:rsid w:val="00C02E1D"/>
    <w:rsid w:val="00C02FBD"/>
    <w:rsid w:val="00C03547"/>
    <w:rsid w:val="00C03651"/>
    <w:rsid w:val="00C038FA"/>
    <w:rsid w:val="00C0441D"/>
    <w:rsid w:val="00C0466C"/>
    <w:rsid w:val="00C051F8"/>
    <w:rsid w:val="00C052EF"/>
    <w:rsid w:val="00C054D1"/>
    <w:rsid w:val="00C05734"/>
    <w:rsid w:val="00C05C7C"/>
    <w:rsid w:val="00C069E4"/>
    <w:rsid w:val="00C0702B"/>
    <w:rsid w:val="00C07C7C"/>
    <w:rsid w:val="00C10A2B"/>
    <w:rsid w:val="00C10EFC"/>
    <w:rsid w:val="00C113E9"/>
    <w:rsid w:val="00C11B41"/>
    <w:rsid w:val="00C11C31"/>
    <w:rsid w:val="00C11E36"/>
    <w:rsid w:val="00C128EE"/>
    <w:rsid w:val="00C1341C"/>
    <w:rsid w:val="00C13827"/>
    <w:rsid w:val="00C13CA7"/>
    <w:rsid w:val="00C14969"/>
    <w:rsid w:val="00C14CA0"/>
    <w:rsid w:val="00C153C1"/>
    <w:rsid w:val="00C156EA"/>
    <w:rsid w:val="00C15926"/>
    <w:rsid w:val="00C159D7"/>
    <w:rsid w:val="00C161C7"/>
    <w:rsid w:val="00C16919"/>
    <w:rsid w:val="00C17132"/>
    <w:rsid w:val="00C17313"/>
    <w:rsid w:val="00C17B79"/>
    <w:rsid w:val="00C201AE"/>
    <w:rsid w:val="00C20FF0"/>
    <w:rsid w:val="00C21199"/>
    <w:rsid w:val="00C21FD5"/>
    <w:rsid w:val="00C226BD"/>
    <w:rsid w:val="00C22C2C"/>
    <w:rsid w:val="00C22F3B"/>
    <w:rsid w:val="00C23141"/>
    <w:rsid w:val="00C2401D"/>
    <w:rsid w:val="00C245C3"/>
    <w:rsid w:val="00C2517B"/>
    <w:rsid w:val="00C251AC"/>
    <w:rsid w:val="00C25C9A"/>
    <w:rsid w:val="00C26BCD"/>
    <w:rsid w:val="00C27018"/>
    <w:rsid w:val="00C31767"/>
    <w:rsid w:val="00C3389E"/>
    <w:rsid w:val="00C347A0"/>
    <w:rsid w:val="00C36690"/>
    <w:rsid w:val="00C36E48"/>
    <w:rsid w:val="00C37E9D"/>
    <w:rsid w:val="00C37F69"/>
    <w:rsid w:val="00C40906"/>
    <w:rsid w:val="00C41FBF"/>
    <w:rsid w:val="00C421C8"/>
    <w:rsid w:val="00C42CFB"/>
    <w:rsid w:val="00C4319B"/>
    <w:rsid w:val="00C431A9"/>
    <w:rsid w:val="00C4330D"/>
    <w:rsid w:val="00C43B9C"/>
    <w:rsid w:val="00C43BF3"/>
    <w:rsid w:val="00C43EAA"/>
    <w:rsid w:val="00C43EE5"/>
    <w:rsid w:val="00C4425C"/>
    <w:rsid w:val="00C4450D"/>
    <w:rsid w:val="00C452CB"/>
    <w:rsid w:val="00C465B9"/>
    <w:rsid w:val="00C46EA2"/>
    <w:rsid w:val="00C47694"/>
    <w:rsid w:val="00C51680"/>
    <w:rsid w:val="00C51B06"/>
    <w:rsid w:val="00C52BCE"/>
    <w:rsid w:val="00C53694"/>
    <w:rsid w:val="00C5386E"/>
    <w:rsid w:val="00C53A90"/>
    <w:rsid w:val="00C54220"/>
    <w:rsid w:val="00C55316"/>
    <w:rsid w:val="00C56791"/>
    <w:rsid w:val="00C56888"/>
    <w:rsid w:val="00C5695E"/>
    <w:rsid w:val="00C5734A"/>
    <w:rsid w:val="00C57F9B"/>
    <w:rsid w:val="00C605D4"/>
    <w:rsid w:val="00C60BC8"/>
    <w:rsid w:val="00C60EC9"/>
    <w:rsid w:val="00C61573"/>
    <w:rsid w:val="00C61B3D"/>
    <w:rsid w:val="00C61CDC"/>
    <w:rsid w:val="00C631E7"/>
    <w:rsid w:val="00C631F9"/>
    <w:rsid w:val="00C63E32"/>
    <w:rsid w:val="00C64528"/>
    <w:rsid w:val="00C653DD"/>
    <w:rsid w:val="00C6582D"/>
    <w:rsid w:val="00C65A2E"/>
    <w:rsid w:val="00C66062"/>
    <w:rsid w:val="00C6672C"/>
    <w:rsid w:val="00C66866"/>
    <w:rsid w:val="00C6740C"/>
    <w:rsid w:val="00C67472"/>
    <w:rsid w:val="00C67BAA"/>
    <w:rsid w:val="00C67C8C"/>
    <w:rsid w:val="00C714ED"/>
    <w:rsid w:val="00C731BB"/>
    <w:rsid w:val="00C73F1E"/>
    <w:rsid w:val="00C73F76"/>
    <w:rsid w:val="00C74819"/>
    <w:rsid w:val="00C74873"/>
    <w:rsid w:val="00C75AC0"/>
    <w:rsid w:val="00C75AD7"/>
    <w:rsid w:val="00C762AE"/>
    <w:rsid w:val="00C7799D"/>
    <w:rsid w:val="00C77C25"/>
    <w:rsid w:val="00C80085"/>
    <w:rsid w:val="00C802F0"/>
    <w:rsid w:val="00C809B9"/>
    <w:rsid w:val="00C80A5F"/>
    <w:rsid w:val="00C8143F"/>
    <w:rsid w:val="00C81570"/>
    <w:rsid w:val="00C821E5"/>
    <w:rsid w:val="00C84F44"/>
    <w:rsid w:val="00C856A8"/>
    <w:rsid w:val="00C86084"/>
    <w:rsid w:val="00C8682B"/>
    <w:rsid w:val="00C86BFD"/>
    <w:rsid w:val="00C908C1"/>
    <w:rsid w:val="00C91DE8"/>
    <w:rsid w:val="00C92B5D"/>
    <w:rsid w:val="00C94BBB"/>
    <w:rsid w:val="00C94DC4"/>
    <w:rsid w:val="00C962A6"/>
    <w:rsid w:val="00C964DC"/>
    <w:rsid w:val="00C96828"/>
    <w:rsid w:val="00C96E4C"/>
    <w:rsid w:val="00C96F67"/>
    <w:rsid w:val="00C977A9"/>
    <w:rsid w:val="00C979D6"/>
    <w:rsid w:val="00CA0476"/>
    <w:rsid w:val="00CA12CF"/>
    <w:rsid w:val="00CA142E"/>
    <w:rsid w:val="00CA1D8C"/>
    <w:rsid w:val="00CA1F09"/>
    <w:rsid w:val="00CA21C3"/>
    <w:rsid w:val="00CA2310"/>
    <w:rsid w:val="00CA2927"/>
    <w:rsid w:val="00CA35BF"/>
    <w:rsid w:val="00CA46DD"/>
    <w:rsid w:val="00CA4832"/>
    <w:rsid w:val="00CA68EF"/>
    <w:rsid w:val="00CA7632"/>
    <w:rsid w:val="00CA7AB5"/>
    <w:rsid w:val="00CA7CED"/>
    <w:rsid w:val="00CB032F"/>
    <w:rsid w:val="00CB04C8"/>
    <w:rsid w:val="00CB1479"/>
    <w:rsid w:val="00CB344D"/>
    <w:rsid w:val="00CB34C6"/>
    <w:rsid w:val="00CB4786"/>
    <w:rsid w:val="00CB4F47"/>
    <w:rsid w:val="00CB563B"/>
    <w:rsid w:val="00CB56DF"/>
    <w:rsid w:val="00CB64A1"/>
    <w:rsid w:val="00CB7723"/>
    <w:rsid w:val="00CB7981"/>
    <w:rsid w:val="00CC06A7"/>
    <w:rsid w:val="00CC2165"/>
    <w:rsid w:val="00CC2556"/>
    <w:rsid w:val="00CC2664"/>
    <w:rsid w:val="00CC2669"/>
    <w:rsid w:val="00CC285B"/>
    <w:rsid w:val="00CC2A97"/>
    <w:rsid w:val="00CC2EBD"/>
    <w:rsid w:val="00CC3889"/>
    <w:rsid w:val="00CC3CB1"/>
    <w:rsid w:val="00CC3FF6"/>
    <w:rsid w:val="00CC408D"/>
    <w:rsid w:val="00CC4648"/>
    <w:rsid w:val="00CC48B3"/>
    <w:rsid w:val="00CC5597"/>
    <w:rsid w:val="00CC5603"/>
    <w:rsid w:val="00CC6A36"/>
    <w:rsid w:val="00CC7E01"/>
    <w:rsid w:val="00CD0EF9"/>
    <w:rsid w:val="00CD16F4"/>
    <w:rsid w:val="00CD17D8"/>
    <w:rsid w:val="00CD1825"/>
    <w:rsid w:val="00CD1E01"/>
    <w:rsid w:val="00CD1EE9"/>
    <w:rsid w:val="00CD2938"/>
    <w:rsid w:val="00CD2F43"/>
    <w:rsid w:val="00CD4269"/>
    <w:rsid w:val="00CD5513"/>
    <w:rsid w:val="00CD551F"/>
    <w:rsid w:val="00CD583D"/>
    <w:rsid w:val="00CD5CF0"/>
    <w:rsid w:val="00CD6051"/>
    <w:rsid w:val="00CD6DDD"/>
    <w:rsid w:val="00CD7414"/>
    <w:rsid w:val="00CD79DF"/>
    <w:rsid w:val="00CE0EA6"/>
    <w:rsid w:val="00CE1124"/>
    <w:rsid w:val="00CE2586"/>
    <w:rsid w:val="00CE2D7E"/>
    <w:rsid w:val="00CE3047"/>
    <w:rsid w:val="00CE3731"/>
    <w:rsid w:val="00CE3849"/>
    <w:rsid w:val="00CE3FEF"/>
    <w:rsid w:val="00CE41D8"/>
    <w:rsid w:val="00CE459E"/>
    <w:rsid w:val="00CE4F16"/>
    <w:rsid w:val="00CE5066"/>
    <w:rsid w:val="00CE5366"/>
    <w:rsid w:val="00CE6133"/>
    <w:rsid w:val="00CE6148"/>
    <w:rsid w:val="00CE76FB"/>
    <w:rsid w:val="00CE770B"/>
    <w:rsid w:val="00CF1E6C"/>
    <w:rsid w:val="00CF3927"/>
    <w:rsid w:val="00CF3A78"/>
    <w:rsid w:val="00CF3B0D"/>
    <w:rsid w:val="00CF4B0D"/>
    <w:rsid w:val="00CF5D67"/>
    <w:rsid w:val="00CF5EEA"/>
    <w:rsid w:val="00CF6B74"/>
    <w:rsid w:val="00CF6E62"/>
    <w:rsid w:val="00CF6EE1"/>
    <w:rsid w:val="00CF7271"/>
    <w:rsid w:val="00CF7676"/>
    <w:rsid w:val="00CF7A49"/>
    <w:rsid w:val="00CF7A5C"/>
    <w:rsid w:val="00CF7DA4"/>
    <w:rsid w:val="00D006B5"/>
    <w:rsid w:val="00D00756"/>
    <w:rsid w:val="00D00BB2"/>
    <w:rsid w:val="00D00E27"/>
    <w:rsid w:val="00D01013"/>
    <w:rsid w:val="00D0121A"/>
    <w:rsid w:val="00D01649"/>
    <w:rsid w:val="00D0247D"/>
    <w:rsid w:val="00D0256F"/>
    <w:rsid w:val="00D02623"/>
    <w:rsid w:val="00D02EA7"/>
    <w:rsid w:val="00D032D5"/>
    <w:rsid w:val="00D04009"/>
    <w:rsid w:val="00D0522E"/>
    <w:rsid w:val="00D05955"/>
    <w:rsid w:val="00D06332"/>
    <w:rsid w:val="00D065CC"/>
    <w:rsid w:val="00D06945"/>
    <w:rsid w:val="00D0746C"/>
    <w:rsid w:val="00D127BE"/>
    <w:rsid w:val="00D13C7A"/>
    <w:rsid w:val="00D13DC4"/>
    <w:rsid w:val="00D14252"/>
    <w:rsid w:val="00D14BD2"/>
    <w:rsid w:val="00D154B7"/>
    <w:rsid w:val="00D16146"/>
    <w:rsid w:val="00D17162"/>
    <w:rsid w:val="00D17348"/>
    <w:rsid w:val="00D20368"/>
    <w:rsid w:val="00D20666"/>
    <w:rsid w:val="00D20DD9"/>
    <w:rsid w:val="00D210EF"/>
    <w:rsid w:val="00D21165"/>
    <w:rsid w:val="00D226A2"/>
    <w:rsid w:val="00D22CC1"/>
    <w:rsid w:val="00D234D6"/>
    <w:rsid w:val="00D252B1"/>
    <w:rsid w:val="00D2654F"/>
    <w:rsid w:val="00D265F8"/>
    <w:rsid w:val="00D26D2B"/>
    <w:rsid w:val="00D316D1"/>
    <w:rsid w:val="00D318BA"/>
    <w:rsid w:val="00D318DE"/>
    <w:rsid w:val="00D31D7E"/>
    <w:rsid w:val="00D33FB8"/>
    <w:rsid w:val="00D34063"/>
    <w:rsid w:val="00D342F6"/>
    <w:rsid w:val="00D3507E"/>
    <w:rsid w:val="00D357CA"/>
    <w:rsid w:val="00D358AB"/>
    <w:rsid w:val="00D35A74"/>
    <w:rsid w:val="00D3602B"/>
    <w:rsid w:val="00D36516"/>
    <w:rsid w:val="00D36D79"/>
    <w:rsid w:val="00D36EE4"/>
    <w:rsid w:val="00D37B18"/>
    <w:rsid w:val="00D37E58"/>
    <w:rsid w:val="00D409A2"/>
    <w:rsid w:val="00D42E69"/>
    <w:rsid w:val="00D434E8"/>
    <w:rsid w:val="00D438E6"/>
    <w:rsid w:val="00D4410B"/>
    <w:rsid w:val="00D445C4"/>
    <w:rsid w:val="00D44E15"/>
    <w:rsid w:val="00D4542A"/>
    <w:rsid w:val="00D4568A"/>
    <w:rsid w:val="00D45B90"/>
    <w:rsid w:val="00D4626C"/>
    <w:rsid w:val="00D46DA3"/>
    <w:rsid w:val="00D46F07"/>
    <w:rsid w:val="00D474FE"/>
    <w:rsid w:val="00D47848"/>
    <w:rsid w:val="00D4796A"/>
    <w:rsid w:val="00D47B3F"/>
    <w:rsid w:val="00D47D17"/>
    <w:rsid w:val="00D47E5E"/>
    <w:rsid w:val="00D5056B"/>
    <w:rsid w:val="00D51DAF"/>
    <w:rsid w:val="00D53977"/>
    <w:rsid w:val="00D53A1A"/>
    <w:rsid w:val="00D53DE9"/>
    <w:rsid w:val="00D53E03"/>
    <w:rsid w:val="00D540C3"/>
    <w:rsid w:val="00D54332"/>
    <w:rsid w:val="00D54365"/>
    <w:rsid w:val="00D54BD2"/>
    <w:rsid w:val="00D54CC7"/>
    <w:rsid w:val="00D5519F"/>
    <w:rsid w:val="00D551F8"/>
    <w:rsid w:val="00D552E7"/>
    <w:rsid w:val="00D55896"/>
    <w:rsid w:val="00D55D45"/>
    <w:rsid w:val="00D5625C"/>
    <w:rsid w:val="00D56F1E"/>
    <w:rsid w:val="00D603AC"/>
    <w:rsid w:val="00D60D7F"/>
    <w:rsid w:val="00D60EDE"/>
    <w:rsid w:val="00D614BB"/>
    <w:rsid w:val="00D61DFB"/>
    <w:rsid w:val="00D62C32"/>
    <w:rsid w:val="00D62E92"/>
    <w:rsid w:val="00D62FF8"/>
    <w:rsid w:val="00D630AA"/>
    <w:rsid w:val="00D630EF"/>
    <w:rsid w:val="00D63865"/>
    <w:rsid w:val="00D63DD7"/>
    <w:rsid w:val="00D63F0F"/>
    <w:rsid w:val="00D6488F"/>
    <w:rsid w:val="00D65538"/>
    <w:rsid w:val="00D6673F"/>
    <w:rsid w:val="00D67B4D"/>
    <w:rsid w:val="00D67CBC"/>
    <w:rsid w:val="00D67EE0"/>
    <w:rsid w:val="00D70573"/>
    <w:rsid w:val="00D7171D"/>
    <w:rsid w:val="00D73907"/>
    <w:rsid w:val="00D74E4A"/>
    <w:rsid w:val="00D75610"/>
    <w:rsid w:val="00D7572B"/>
    <w:rsid w:val="00D76BFF"/>
    <w:rsid w:val="00D80CF9"/>
    <w:rsid w:val="00D819DD"/>
    <w:rsid w:val="00D81A60"/>
    <w:rsid w:val="00D823A8"/>
    <w:rsid w:val="00D82426"/>
    <w:rsid w:val="00D82C72"/>
    <w:rsid w:val="00D831AE"/>
    <w:rsid w:val="00D83F42"/>
    <w:rsid w:val="00D8492A"/>
    <w:rsid w:val="00D85130"/>
    <w:rsid w:val="00D853C9"/>
    <w:rsid w:val="00D85F26"/>
    <w:rsid w:val="00D8705D"/>
    <w:rsid w:val="00D87BCB"/>
    <w:rsid w:val="00D90229"/>
    <w:rsid w:val="00D9053D"/>
    <w:rsid w:val="00D911BB"/>
    <w:rsid w:val="00D913C3"/>
    <w:rsid w:val="00D918A6"/>
    <w:rsid w:val="00D91D81"/>
    <w:rsid w:val="00D920B8"/>
    <w:rsid w:val="00D9398F"/>
    <w:rsid w:val="00D95394"/>
    <w:rsid w:val="00D95C7C"/>
    <w:rsid w:val="00D95E48"/>
    <w:rsid w:val="00D96044"/>
    <w:rsid w:val="00D96893"/>
    <w:rsid w:val="00DA02AF"/>
    <w:rsid w:val="00DA2601"/>
    <w:rsid w:val="00DA29ED"/>
    <w:rsid w:val="00DA2E01"/>
    <w:rsid w:val="00DA2E9F"/>
    <w:rsid w:val="00DA2F82"/>
    <w:rsid w:val="00DA311B"/>
    <w:rsid w:val="00DA48E1"/>
    <w:rsid w:val="00DA4BCB"/>
    <w:rsid w:val="00DA4CDF"/>
    <w:rsid w:val="00DA5185"/>
    <w:rsid w:val="00DA5D5A"/>
    <w:rsid w:val="00DA64BE"/>
    <w:rsid w:val="00DA6A80"/>
    <w:rsid w:val="00DA6AE3"/>
    <w:rsid w:val="00DA6D99"/>
    <w:rsid w:val="00DB0160"/>
    <w:rsid w:val="00DB1472"/>
    <w:rsid w:val="00DB2B77"/>
    <w:rsid w:val="00DB3670"/>
    <w:rsid w:val="00DB3AA3"/>
    <w:rsid w:val="00DB3DE9"/>
    <w:rsid w:val="00DB4666"/>
    <w:rsid w:val="00DB4C3E"/>
    <w:rsid w:val="00DB533A"/>
    <w:rsid w:val="00DB56E4"/>
    <w:rsid w:val="00DB6AC8"/>
    <w:rsid w:val="00DB6EF3"/>
    <w:rsid w:val="00DB71CC"/>
    <w:rsid w:val="00DB723A"/>
    <w:rsid w:val="00DB7E75"/>
    <w:rsid w:val="00DC0A99"/>
    <w:rsid w:val="00DC1B1D"/>
    <w:rsid w:val="00DC27AC"/>
    <w:rsid w:val="00DC2C3F"/>
    <w:rsid w:val="00DC2DFF"/>
    <w:rsid w:val="00DC33DE"/>
    <w:rsid w:val="00DC4230"/>
    <w:rsid w:val="00DC459D"/>
    <w:rsid w:val="00DC4CEA"/>
    <w:rsid w:val="00DC5509"/>
    <w:rsid w:val="00DC5F87"/>
    <w:rsid w:val="00DC63B2"/>
    <w:rsid w:val="00DD2EB4"/>
    <w:rsid w:val="00DD2F32"/>
    <w:rsid w:val="00DD4329"/>
    <w:rsid w:val="00DD4520"/>
    <w:rsid w:val="00DD48DA"/>
    <w:rsid w:val="00DD7681"/>
    <w:rsid w:val="00DD793A"/>
    <w:rsid w:val="00DD7ED8"/>
    <w:rsid w:val="00DE0388"/>
    <w:rsid w:val="00DE1BA4"/>
    <w:rsid w:val="00DE248A"/>
    <w:rsid w:val="00DE25E4"/>
    <w:rsid w:val="00DE2D5F"/>
    <w:rsid w:val="00DE43F1"/>
    <w:rsid w:val="00DE4E36"/>
    <w:rsid w:val="00DE4FA2"/>
    <w:rsid w:val="00DE53ED"/>
    <w:rsid w:val="00DE5BE5"/>
    <w:rsid w:val="00DE6C5F"/>
    <w:rsid w:val="00DE7A76"/>
    <w:rsid w:val="00DF0606"/>
    <w:rsid w:val="00DF0A08"/>
    <w:rsid w:val="00DF144A"/>
    <w:rsid w:val="00DF3923"/>
    <w:rsid w:val="00DF48C3"/>
    <w:rsid w:val="00DF5159"/>
    <w:rsid w:val="00DF5254"/>
    <w:rsid w:val="00DF5471"/>
    <w:rsid w:val="00DF5AB9"/>
    <w:rsid w:val="00DF5AEA"/>
    <w:rsid w:val="00DF71D6"/>
    <w:rsid w:val="00DF79F0"/>
    <w:rsid w:val="00DF7B2D"/>
    <w:rsid w:val="00E00172"/>
    <w:rsid w:val="00E001C4"/>
    <w:rsid w:val="00E00910"/>
    <w:rsid w:val="00E0093B"/>
    <w:rsid w:val="00E017F1"/>
    <w:rsid w:val="00E01D72"/>
    <w:rsid w:val="00E01F34"/>
    <w:rsid w:val="00E04CED"/>
    <w:rsid w:val="00E064D0"/>
    <w:rsid w:val="00E0655F"/>
    <w:rsid w:val="00E0749A"/>
    <w:rsid w:val="00E07DDC"/>
    <w:rsid w:val="00E100E2"/>
    <w:rsid w:val="00E10297"/>
    <w:rsid w:val="00E1087C"/>
    <w:rsid w:val="00E11786"/>
    <w:rsid w:val="00E131D8"/>
    <w:rsid w:val="00E1372C"/>
    <w:rsid w:val="00E1491B"/>
    <w:rsid w:val="00E14943"/>
    <w:rsid w:val="00E14DFF"/>
    <w:rsid w:val="00E1601D"/>
    <w:rsid w:val="00E16A39"/>
    <w:rsid w:val="00E17F7C"/>
    <w:rsid w:val="00E20355"/>
    <w:rsid w:val="00E208AA"/>
    <w:rsid w:val="00E20CF5"/>
    <w:rsid w:val="00E213AF"/>
    <w:rsid w:val="00E22909"/>
    <w:rsid w:val="00E22DB7"/>
    <w:rsid w:val="00E23217"/>
    <w:rsid w:val="00E233E5"/>
    <w:rsid w:val="00E23868"/>
    <w:rsid w:val="00E23C5A"/>
    <w:rsid w:val="00E242F2"/>
    <w:rsid w:val="00E24DA5"/>
    <w:rsid w:val="00E25BD0"/>
    <w:rsid w:val="00E25DD6"/>
    <w:rsid w:val="00E25E6B"/>
    <w:rsid w:val="00E26A57"/>
    <w:rsid w:val="00E26C9E"/>
    <w:rsid w:val="00E27C79"/>
    <w:rsid w:val="00E302D1"/>
    <w:rsid w:val="00E30A3B"/>
    <w:rsid w:val="00E30EE2"/>
    <w:rsid w:val="00E321F0"/>
    <w:rsid w:val="00E32C5A"/>
    <w:rsid w:val="00E32CF9"/>
    <w:rsid w:val="00E334AD"/>
    <w:rsid w:val="00E33CA8"/>
    <w:rsid w:val="00E34609"/>
    <w:rsid w:val="00E35520"/>
    <w:rsid w:val="00E35A75"/>
    <w:rsid w:val="00E35EEE"/>
    <w:rsid w:val="00E36338"/>
    <w:rsid w:val="00E3788A"/>
    <w:rsid w:val="00E378F8"/>
    <w:rsid w:val="00E401EB"/>
    <w:rsid w:val="00E40890"/>
    <w:rsid w:val="00E4190E"/>
    <w:rsid w:val="00E4200C"/>
    <w:rsid w:val="00E42364"/>
    <w:rsid w:val="00E42B42"/>
    <w:rsid w:val="00E4339E"/>
    <w:rsid w:val="00E436DA"/>
    <w:rsid w:val="00E44798"/>
    <w:rsid w:val="00E449A5"/>
    <w:rsid w:val="00E5001E"/>
    <w:rsid w:val="00E514DA"/>
    <w:rsid w:val="00E52CB5"/>
    <w:rsid w:val="00E52ED4"/>
    <w:rsid w:val="00E53A98"/>
    <w:rsid w:val="00E54157"/>
    <w:rsid w:val="00E5438B"/>
    <w:rsid w:val="00E546C5"/>
    <w:rsid w:val="00E54E9B"/>
    <w:rsid w:val="00E558B7"/>
    <w:rsid w:val="00E55945"/>
    <w:rsid w:val="00E5617B"/>
    <w:rsid w:val="00E566CA"/>
    <w:rsid w:val="00E56919"/>
    <w:rsid w:val="00E57995"/>
    <w:rsid w:val="00E57C03"/>
    <w:rsid w:val="00E60CC2"/>
    <w:rsid w:val="00E63884"/>
    <w:rsid w:val="00E63F66"/>
    <w:rsid w:val="00E64A5B"/>
    <w:rsid w:val="00E64AFC"/>
    <w:rsid w:val="00E64D8A"/>
    <w:rsid w:val="00E65909"/>
    <w:rsid w:val="00E66BED"/>
    <w:rsid w:val="00E66F9D"/>
    <w:rsid w:val="00E677FA"/>
    <w:rsid w:val="00E67AAD"/>
    <w:rsid w:val="00E714DF"/>
    <w:rsid w:val="00E725FB"/>
    <w:rsid w:val="00E72727"/>
    <w:rsid w:val="00E72885"/>
    <w:rsid w:val="00E728D9"/>
    <w:rsid w:val="00E72D86"/>
    <w:rsid w:val="00E73C36"/>
    <w:rsid w:val="00E74A61"/>
    <w:rsid w:val="00E75ED8"/>
    <w:rsid w:val="00E76651"/>
    <w:rsid w:val="00E802BA"/>
    <w:rsid w:val="00E8067B"/>
    <w:rsid w:val="00E809B6"/>
    <w:rsid w:val="00E81CC8"/>
    <w:rsid w:val="00E83C9B"/>
    <w:rsid w:val="00E83F50"/>
    <w:rsid w:val="00E83FE8"/>
    <w:rsid w:val="00E844BA"/>
    <w:rsid w:val="00E84A44"/>
    <w:rsid w:val="00E84EC0"/>
    <w:rsid w:val="00E85367"/>
    <w:rsid w:val="00E85663"/>
    <w:rsid w:val="00E85EBD"/>
    <w:rsid w:val="00E86476"/>
    <w:rsid w:val="00E86666"/>
    <w:rsid w:val="00E86C2A"/>
    <w:rsid w:val="00E86F40"/>
    <w:rsid w:val="00E87847"/>
    <w:rsid w:val="00E87D93"/>
    <w:rsid w:val="00E9027E"/>
    <w:rsid w:val="00E90A99"/>
    <w:rsid w:val="00E94479"/>
    <w:rsid w:val="00E94643"/>
    <w:rsid w:val="00E947DF"/>
    <w:rsid w:val="00E94BE5"/>
    <w:rsid w:val="00E959A6"/>
    <w:rsid w:val="00E95CB6"/>
    <w:rsid w:val="00E95F88"/>
    <w:rsid w:val="00E96CAE"/>
    <w:rsid w:val="00E96CB0"/>
    <w:rsid w:val="00E9754C"/>
    <w:rsid w:val="00E97F98"/>
    <w:rsid w:val="00EA00BB"/>
    <w:rsid w:val="00EA00CB"/>
    <w:rsid w:val="00EA1D1F"/>
    <w:rsid w:val="00EA2112"/>
    <w:rsid w:val="00EA255E"/>
    <w:rsid w:val="00EA3294"/>
    <w:rsid w:val="00EA373F"/>
    <w:rsid w:val="00EA3A57"/>
    <w:rsid w:val="00EA3C75"/>
    <w:rsid w:val="00EA490A"/>
    <w:rsid w:val="00EA50F8"/>
    <w:rsid w:val="00EB27A1"/>
    <w:rsid w:val="00EB29C6"/>
    <w:rsid w:val="00EB2A50"/>
    <w:rsid w:val="00EB2FDC"/>
    <w:rsid w:val="00EB34C6"/>
    <w:rsid w:val="00EB3BDD"/>
    <w:rsid w:val="00EB5571"/>
    <w:rsid w:val="00EB62ED"/>
    <w:rsid w:val="00EB6D6F"/>
    <w:rsid w:val="00EB75C1"/>
    <w:rsid w:val="00EC034F"/>
    <w:rsid w:val="00EC03A4"/>
    <w:rsid w:val="00EC05D9"/>
    <w:rsid w:val="00EC12B2"/>
    <w:rsid w:val="00EC1F20"/>
    <w:rsid w:val="00EC1F9A"/>
    <w:rsid w:val="00EC2D7F"/>
    <w:rsid w:val="00EC479E"/>
    <w:rsid w:val="00EC4CCC"/>
    <w:rsid w:val="00EC4ED4"/>
    <w:rsid w:val="00EC529B"/>
    <w:rsid w:val="00EC58FC"/>
    <w:rsid w:val="00EC7AE5"/>
    <w:rsid w:val="00EC7B5B"/>
    <w:rsid w:val="00ED00AE"/>
    <w:rsid w:val="00ED05CE"/>
    <w:rsid w:val="00ED0720"/>
    <w:rsid w:val="00ED0961"/>
    <w:rsid w:val="00ED109C"/>
    <w:rsid w:val="00ED240D"/>
    <w:rsid w:val="00ED2860"/>
    <w:rsid w:val="00ED44D1"/>
    <w:rsid w:val="00ED46C0"/>
    <w:rsid w:val="00ED48A6"/>
    <w:rsid w:val="00ED4E4D"/>
    <w:rsid w:val="00ED7003"/>
    <w:rsid w:val="00ED76C4"/>
    <w:rsid w:val="00EE0EE1"/>
    <w:rsid w:val="00EE10F5"/>
    <w:rsid w:val="00EE12A4"/>
    <w:rsid w:val="00EE2D08"/>
    <w:rsid w:val="00EE2D67"/>
    <w:rsid w:val="00EE3B13"/>
    <w:rsid w:val="00EE450C"/>
    <w:rsid w:val="00EE524E"/>
    <w:rsid w:val="00EE56CB"/>
    <w:rsid w:val="00EE5D66"/>
    <w:rsid w:val="00EE62DA"/>
    <w:rsid w:val="00EE6EF3"/>
    <w:rsid w:val="00EE739F"/>
    <w:rsid w:val="00EE744E"/>
    <w:rsid w:val="00EF00AB"/>
    <w:rsid w:val="00EF0D13"/>
    <w:rsid w:val="00EF1359"/>
    <w:rsid w:val="00EF145E"/>
    <w:rsid w:val="00EF1A8B"/>
    <w:rsid w:val="00EF1C7F"/>
    <w:rsid w:val="00EF1F38"/>
    <w:rsid w:val="00EF25EF"/>
    <w:rsid w:val="00EF2997"/>
    <w:rsid w:val="00EF4404"/>
    <w:rsid w:val="00EF4488"/>
    <w:rsid w:val="00EF4BF3"/>
    <w:rsid w:val="00EF4E77"/>
    <w:rsid w:val="00EF5196"/>
    <w:rsid w:val="00EF51E3"/>
    <w:rsid w:val="00EF5278"/>
    <w:rsid w:val="00EF7B2D"/>
    <w:rsid w:val="00EF7D76"/>
    <w:rsid w:val="00EF7DC3"/>
    <w:rsid w:val="00EF7FCC"/>
    <w:rsid w:val="00F00822"/>
    <w:rsid w:val="00F01451"/>
    <w:rsid w:val="00F01C46"/>
    <w:rsid w:val="00F024E2"/>
    <w:rsid w:val="00F02565"/>
    <w:rsid w:val="00F0312A"/>
    <w:rsid w:val="00F0313D"/>
    <w:rsid w:val="00F049CB"/>
    <w:rsid w:val="00F04ECD"/>
    <w:rsid w:val="00F0551B"/>
    <w:rsid w:val="00F06089"/>
    <w:rsid w:val="00F0668E"/>
    <w:rsid w:val="00F067A9"/>
    <w:rsid w:val="00F06912"/>
    <w:rsid w:val="00F06DE3"/>
    <w:rsid w:val="00F06E3E"/>
    <w:rsid w:val="00F07C31"/>
    <w:rsid w:val="00F10613"/>
    <w:rsid w:val="00F107B3"/>
    <w:rsid w:val="00F110A5"/>
    <w:rsid w:val="00F112DA"/>
    <w:rsid w:val="00F114AE"/>
    <w:rsid w:val="00F11655"/>
    <w:rsid w:val="00F1177A"/>
    <w:rsid w:val="00F125C6"/>
    <w:rsid w:val="00F1298F"/>
    <w:rsid w:val="00F12F62"/>
    <w:rsid w:val="00F1562E"/>
    <w:rsid w:val="00F1569D"/>
    <w:rsid w:val="00F15A1A"/>
    <w:rsid w:val="00F15AFD"/>
    <w:rsid w:val="00F168B3"/>
    <w:rsid w:val="00F16B7A"/>
    <w:rsid w:val="00F17CAF"/>
    <w:rsid w:val="00F20EE2"/>
    <w:rsid w:val="00F2132B"/>
    <w:rsid w:val="00F2185A"/>
    <w:rsid w:val="00F23A89"/>
    <w:rsid w:val="00F24629"/>
    <w:rsid w:val="00F2473F"/>
    <w:rsid w:val="00F24F3E"/>
    <w:rsid w:val="00F2514D"/>
    <w:rsid w:val="00F2558B"/>
    <w:rsid w:val="00F25BD9"/>
    <w:rsid w:val="00F27ACD"/>
    <w:rsid w:val="00F27ADA"/>
    <w:rsid w:val="00F27F8A"/>
    <w:rsid w:val="00F30DE1"/>
    <w:rsid w:val="00F313DB"/>
    <w:rsid w:val="00F31412"/>
    <w:rsid w:val="00F32886"/>
    <w:rsid w:val="00F33240"/>
    <w:rsid w:val="00F33951"/>
    <w:rsid w:val="00F3404F"/>
    <w:rsid w:val="00F34FD4"/>
    <w:rsid w:val="00F35ADD"/>
    <w:rsid w:val="00F360C9"/>
    <w:rsid w:val="00F37532"/>
    <w:rsid w:val="00F3764D"/>
    <w:rsid w:val="00F40152"/>
    <w:rsid w:val="00F40F02"/>
    <w:rsid w:val="00F411E6"/>
    <w:rsid w:val="00F41814"/>
    <w:rsid w:val="00F41FD0"/>
    <w:rsid w:val="00F42802"/>
    <w:rsid w:val="00F42C81"/>
    <w:rsid w:val="00F4388A"/>
    <w:rsid w:val="00F44F56"/>
    <w:rsid w:val="00F463BB"/>
    <w:rsid w:val="00F46878"/>
    <w:rsid w:val="00F472F8"/>
    <w:rsid w:val="00F50737"/>
    <w:rsid w:val="00F50AA5"/>
    <w:rsid w:val="00F51035"/>
    <w:rsid w:val="00F51547"/>
    <w:rsid w:val="00F51B7B"/>
    <w:rsid w:val="00F51D79"/>
    <w:rsid w:val="00F5294D"/>
    <w:rsid w:val="00F52D42"/>
    <w:rsid w:val="00F5334A"/>
    <w:rsid w:val="00F54488"/>
    <w:rsid w:val="00F547C6"/>
    <w:rsid w:val="00F548C1"/>
    <w:rsid w:val="00F54AD9"/>
    <w:rsid w:val="00F54FD5"/>
    <w:rsid w:val="00F5587C"/>
    <w:rsid w:val="00F56374"/>
    <w:rsid w:val="00F56444"/>
    <w:rsid w:val="00F565A7"/>
    <w:rsid w:val="00F6188F"/>
    <w:rsid w:val="00F618B8"/>
    <w:rsid w:val="00F62B54"/>
    <w:rsid w:val="00F62BA2"/>
    <w:rsid w:val="00F62CC3"/>
    <w:rsid w:val="00F64C9C"/>
    <w:rsid w:val="00F64D9B"/>
    <w:rsid w:val="00F65925"/>
    <w:rsid w:val="00F66105"/>
    <w:rsid w:val="00F665E8"/>
    <w:rsid w:val="00F709EB"/>
    <w:rsid w:val="00F70BB1"/>
    <w:rsid w:val="00F72E3E"/>
    <w:rsid w:val="00F7360A"/>
    <w:rsid w:val="00F73F54"/>
    <w:rsid w:val="00F7541C"/>
    <w:rsid w:val="00F75B12"/>
    <w:rsid w:val="00F75C8D"/>
    <w:rsid w:val="00F77176"/>
    <w:rsid w:val="00F772C1"/>
    <w:rsid w:val="00F77774"/>
    <w:rsid w:val="00F77B17"/>
    <w:rsid w:val="00F800BF"/>
    <w:rsid w:val="00F8125E"/>
    <w:rsid w:val="00F829CE"/>
    <w:rsid w:val="00F83741"/>
    <w:rsid w:val="00F83CDE"/>
    <w:rsid w:val="00F83D70"/>
    <w:rsid w:val="00F83DC4"/>
    <w:rsid w:val="00F83F46"/>
    <w:rsid w:val="00F840F1"/>
    <w:rsid w:val="00F841D7"/>
    <w:rsid w:val="00F84731"/>
    <w:rsid w:val="00F858EA"/>
    <w:rsid w:val="00F85F2D"/>
    <w:rsid w:val="00F86912"/>
    <w:rsid w:val="00F86CC5"/>
    <w:rsid w:val="00F86EE7"/>
    <w:rsid w:val="00F87100"/>
    <w:rsid w:val="00F9001C"/>
    <w:rsid w:val="00F902C5"/>
    <w:rsid w:val="00F90977"/>
    <w:rsid w:val="00F90BF8"/>
    <w:rsid w:val="00F91E16"/>
    <w:rsid w:val="00F91F0F"/>
    <w:rsid w:val="00F926E8"/>
    <w:rsid w:val="00F9312E"/>
    <w:rsid w:val="00F9324C"/>
    <w:rsid w:val="00F933B0"/>
    <w:rsid w:val="00F939CE"/>
    <w:rsid w:val="00F941BF"/>
    <w:rsid w:val="00F94D45"/>
    <w:rsid w:val="00F9506A"/>
    <w:rsid w:val="00F95150"/>
    <w:rsid w:val="00F9578C"/>
    <w:rsid w:val="00F95E7C"/>
    <w:rsid w:val="00F97076"/>
    <w:rsid w:val="00F97429"/>
    <w:rsid w:val="00F975C0"/>
    <w:rsid w:val="00F9774F"/>
    <w:rsid w:val="00F9792D"/>
    <w:rsid w:val="00F97EC7"/>
    <w:rsid w:val="00FA03B1"/>
    <w:rsid w:val="00FA149F"/>
    <w:rsid w:val="00FA17B7"/>
    <w:rsid w:val="00FA2DC2"/>
    <w:rsid w:val="00FA30C1"/>
    <w:rsid w:val="00FA3130"/>
    <w:rsid w:val="00FA3188"/>
    <w:rsid w:val="00FA3B59"/>
    <w:rsid w:val="00FA3FEF"/>
    <w:rsid w:val="00FA4377"/>
    <w:rsid w:val="00FA4612"/>
    <w:rsid w:val="00FA59F9"/>
    <w:rsid w:val="00FA701C"/>
    <w:rsid w:val="00FA78D5"/>
    <w:rsid w:val="00FB0EE5"/>
    <w:rsid w:val="00FB1BC4"/>
    <w:rsid w:val="00FB1E88"/>
    <w:rsid w:val="00FB2DE1"/>
    <w:rsid w:val="00FB313A"/>
    <w:rsid w:val="00FB3184"/>
    <w:rsid w:val="00FB392D"/>
    <w:rsid w:val="00FB3C31"/>
    <w:rsid w:val="00FB46C9"/>
    <w:rsid w:val="00FB49B5"/>
    <w:rsid w:val="00FB4B7D"/>
    <w:rsid w:val="00FB4BF8"/>
    <w:rsid w:val="00FB5009"/>
    <w:rsid w:val="00FB5CE1"/>
    <w:rsid w:val="00FB628A"/>
    <w:rsid w:val="00FB6AAA"/>
    <w:rsid w:val="00FB6AE3"/>
    <w:rsid w:val="00FB6BF6"/>
    <w:rsid w:val="00FB7541"/>
    <w:rsid w:val="00FC0333"/>
    <w:rsid w:val="00FC20B6"/>
    <w:rsid w:val="00FC25B6"/>
    <w:rsid w:val="00FC27A3"/>
    <w:rsid w:val="00FC2E59"/>
    <w:rsid w:val="00FC368C"/>
    <w:rsid w:val="00FC3A21"/>
    <w:rsid w:val="00FC3CCA"/>
    <w:rsid w:val="00FC3CF3"/>
    <w:rsid w:val="00FC3E43"/>
    <w:rsid w:val="00FC4338"/>
    <w:rsid w:val="00FC592A"/>
    <w:rsid w:val="00FC5DD7"/>
    <w:rsid w:val="00FC723C"/>
    <w:rsid w:val="00FD125C"/>
    <w:rsid w:val="00FD12A3"/>
    <w:rsid w:val="00FD132B"/>
    <w:rsid w:val="00FD1BB1"/>
    <w:rsid w:val="00FD255A"/>
    <w:rsid w:val="00FD2624"/>
    <w:rsid w:val="00FD2A52"/>
    <w:rsid w:val="00FD3553"/>
    <w:rsid w:val="00FD370F"/>
    <w:rsid w:val="00FD40AF"/>
    <w:rsid w:val="00FD62A8"/>
    <w:rsid w:val="00FD667D"/>
    <w:rsid w:val="00FD68E5"/>
    <w:rsid w:val="00FD697C"/>
    <w:rsid w:val="00FD7118"/>
    <w:rsid w:val="00FD7A26"/>
    <w:rsid w:val="00FD7CF7"/>
    <w:rsid w:val="00FD7FDE"/>
    <w:rsid w:val="00FE0E49"/>
    <w:rsid w:val="00FE370B"/>
    <w:rsid w:val="00FE3F93"/>
    <w:rsid w:val="00FE4083"/>
    <w:rsid w:val="00FE4101"/>
    <w:rsid w:val="00FE45A6"/>
    <w:rsid w:val="00FE489B"/>
    <w:rsid w:val="00FE49E9"/>
    <w:rsid w:val="00FE5661"/>
    <w:rsid w:val="00FE686E"/>
    <w:rsid w:val="00FE7C3E"/>
    <w:rsid w:val="00FF0806"/>
    <w:rsid w:val="00FF123F"/>
    <w:rsid w:val="00FF1646"/>
    <w:rsid w:val="00FF2140"/>
    <w:rsid w:val="00FF28E1"/>
    <w:rsid w:val="00FF2CF2"/>
    <w:rsid w:val="00FF31A1"/>
    <w:rsid w:val="00FF3375"/>
    <w:rsid w:val="00FF3FD7"/>
    <w:rsid w:val="00FF4912"/>
    <w:rsid w:val="00FF517F"/>
    <w:rsid w:val="00FF5215"/>
    <w:rsid w:val="00FF5476"/>
    <w:rsid w:val="00FF76C2"/>
    <w:rsid w:val="00FF7C94"/>
    <w:rsid w:val="00FF7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6F602"/>
  <w15:docId w15:val="{5F66B003-935B-4473-988A-7E5E5EFE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8CD"/>
    <w:rPr>
      <w:lang w:eastAsia="en-US"/>
    </w:rPr>
  </w:style>
  <w:style w:type="paragraph" w:styleId="Heading1">
    <w:name w:val="heading 1"/>
    <w:aliases w:val="Heading 1 nik"/>
    <w:basedOn w:val="Normal"/>
    <w:next w:val="niksubtitle"/>
    <w:autoRedefine/>
    <w:qFormat/>
    <w:rsid w:val="009478CD"/>
    <w:pPr>
      <w:keepNext/>
      <w:spacing w:before="240" w:after="60" w:line="360" w:lineRule="auto"/>
      <w:outlineLvl w:val="0"/>
    </w:pPr>
    <w:rPr>
      <w:b/>
      <w:kern w:val="28"/>
      <w:sz w:val="24"/>
    </w:rPr>
  </w:style>
  <w:style w:type="paragraph" w:styleId="Heading2">
    <w:name w:val="heading 2"/>
    <w:basedOn w:val="Normal"/>
    <w:next w:val="Normal"/>
    <w:link w:val="Heading2Char"/>
    <w:unhideWhenUsed/>
    <w:qFormat/>
    <w:rsid w:val="00F008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734D3"/>
    <w:pPr>
      <w:spacing w:before="100" w:beforeAutospacing="1" w:after="100" w:afterAutospacing="1"/>
      <w:outlineLvl w:val="2"/>
    </w:pPr>
    <w:rPr>
      <w:b/>
      <w:bCs/>
      <w:sz w:val="27"/>
      <w:szCs w:val="27"/>
      <w:lang w:eastAsia="en-GB"/>
    </w:rPr>
  </w:style>
  <w:style w:type="character" w:default="1" w:styleId="DefaultParagraphFont">
    <w:name w:val="Default Paragraph Font"/>
    <w:semiHidden/>
    <w:rsid w:val="009478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478CD"/>
  </w:style>
  <w:style w:type="paragraph" w:customStyle="1" w:styleId="niktext">
    <w:name w:val="nik text"/>
    <w:basedOn w:val="Normal"/>
    <w:rsid w:val="009478CD"/>
    <w:pPr>
      <w:tabs>
        <w:tab w:val="left" w:pos="851"/>
      </w:tabs>
      <w:spacing w:line="480" w:lineRule="auto"/>
    </w:pPr>
    <w:rPr>
      <w:sz w:val="24"/>
    </w:rPr>
  </w:style>
  <w:style w:type="paragraph" w:customStyle="1" w:styleId="nikfootnote">
    <w:name w:val="nik footnote"/>
    <w:basedOn w:val="niktext"/>
    <w:link w:val="nikfootnoteChar"/>
    <w:autoRedefine/>
    <w:rsid w:val="009478CD"/>
    <w:pPr>
      <w:keepLines/>
      <w:widowControl w:val="0"/>
      <w:spacing w:line="240" w:lineRule="auto"/>
    </w:pPr>
    <w:rPr>
      <w:sz w:val="20"/>
    </w:rPr>
  </w:style>
  <w:style w:type="paragraph" w:styleId="Footer">
    <w:name w:val="footer"/>
    <w:basedOn w:val="Normal"/>
    <w:rsid w:val="009478CD"/>
    <w:pPr>
      <w:tabs>
        <w:tab w:val="center" w:pos="4153"/>
        <w:tab w:val="right" w:pos="8306"/>
      </w:tabs>
    </w:pPr>
  </w:style>
  <w:style w:type="paragraph" w:customStyle="1" w:styleId="niksubtitle">
    <w:name w:val="nik subtitle"/>
    <w:basedOn w:val="Normal"/>
    <w:rsid w:val="009478CD"/>
    <w:pPr>
      <w:keepNext/>
      <w:tabs>
        <w:tab w:val="left" w:pos="851"/>
      </w:tabs>
      <w:spacing w:line="480" w:lineRule="auto"/>
    </w:pPr>
    <w:rPr>
      <w:b/>
      <w:sz w:val="24"/>
    </w:rPr>
  </w:style>
  <w:style w:type="paragraph" w:customStyle="1" w:styleId="nikoneindenttext">
    <w:name w:val="nik oneindent text"/>
    <w:basedOn w:val="niktext"/>
    <w:rsid w:val="009478CD"/>
    <w:pPr>
      <w:tabs>
        <w:tab w:val="clear" w:pos="851"/>
      </w:tabs>
      <w:ind w:firstLine="851"/>
    </w:pPr>
  </w:style>
  <w:style w:type="paragraph" w:customStyle="1" w:styleId="niktitle">
    <w:name w:val="nik title"/>
    <w:basedOn w:val="niktext"/>
    <w:rsid w:val="009478CD"/>
    <w:pPr>
      <w:keepNext/>
      <w:jc w:val="center"/>
    </w:pPr>
    <w:rPr>
      <w:b/>
      <w:caps/>
      <w:sz w:val="28"/>
    </w:rPr>
  </w:style>
  <w:style w:type="paragraph" w:customStyle="1" w:styleId="nikbullet">
    <w:name w:val="nik bullet"/>
    <w:basedOn w:val="niktext"/>
    <w:rsid w:val="009478CD"/>
    <w:pPr>
      <w:spacing w:line="240" w:lineRule="auto"/>
      <w:ind w:left="720" w:hanging="720"/>
    </w:pPr>
  </w:style>
  <w:style w:type="paragraph" w:customStyle="1" w:styleId="niktabletext">
    <w:name w:val="nik table text"/>
    <w:basedOn w:val="niktext"/>
    <w:rsid w:val="009478CD"/>
    <w:pPr>
      <w:keepNext/>
      <w:keepLines/>
      <w:spacing w:line="360" w:lineRule="auto"/>
      <w:jc w:val="center"/>
    </w:pPr>
  </w:style>
  <w:style w:type="paragraph" w:customStyle="1" w:styleId="niktext15">
    <w:name w:val="nik text1.5"/>
    <w:basedOn w:val="niktext"/>
    <w:link w:val="niktext15Char"/>
    <w:rsid w:val="009478CD"/>
    <w:pPr>
      <w:spacing w:line="360" w:lineRule="auto"/>
    </w:pPr>
  </w:style>
  <w:style w:type="paragraph" w:customStyle="1" w:styleId="nikoneindenttext15">
    <w:name w:val="nik oneindent text1.5"/>
    <w:basedOn w:val="nikoneindenttext"/>
    <w:rsid w:val="009478CD"/>
    <w:pPr>
      <w:spacing w:line="360" w:lineRule="auto"/>
    </w:pPr>
  </w:style>
  <w:style w:type="paragraph" w:customStyle="1" w:styleId="niksemisubtitle">
    <w:name w:val="nik semisubtitle"/>
    <w:basedOn w:val="niktext"/>
    <w:rsid w:val="009478CD"/>
    <w:pPr>
      <w:keepNext/>
    </w:pPr>
    <w:rPr>
      <w:i/>
    </w:rPr>
  </w:style>
  <w:style w:type="character" w:styleId="Hyperlink">
    <w:name w:val="Hyperlink"/>
    <w:basedOn w:val="DefaultParagraphFont"/>
    <w:rsid w:val="00F067A9"/>
    <w:rPr>
      <w:color w:val="0000FF"/>
      <w:u w:val="single"/>
    </w:rPr>
  </w:style>
  <w:style w:type="character" w:styleId="Strong">
    <w:name w:val="Strong"/>
    <w:basedOn w:val="DefaultParagraphFont"/>
    <w:uiPriority w:val="22"/>
    <w:qFormat/>
    <w:rsid w:val="00F067A9"/>
    <w:rPr>
      <w:b/>
      <w:bCs/>
    </w:rPr>
  </w:style>
  <w:style w:type="character" w:styleId="PageNumber">
    <w:name w:val="page number"/>
    <w:basedOn w:val="DefaultParagraphFont"/>
    <w:rsid w:val="00F067A9"/>
  </w:style>
  <w:style w:type="paragraph" w:styleId="Header">
    <w:name w:val="header"/>
    <w:basedOn w:val="Normal"/>
    <w:rsid w:val="00F067A9"/>
    <w:pPr>
      <w:tabs>
        <w:tab w:val="center" w:pos="4153"/>
        <w:tab w:val="right" w:pos="8306"/>
      </w:tabs>
    </w:pPr>
  </w:style>
  <w:style w:type="paragraph" w:styleId="FootnoteText">
    <w:name w:val="footnote text"/>
    <w:basedOn w:val="Normal"/>
    <w:link w:val="FootnoteTextChar"/>
    <w:qFormat/>
    <w:rsid w:val="00F067A9"/>
  </w:style>
  <w:style w:type="character" w:styleId="FootnoteReference">
    <w:name w:val="footnote reference"/>
    <w:aliases w:val="t"/>
    <w:basedOn w:val="DefaultParagraphFont"/>
    <w:rsid w:val="00F067A9"/>
    <w:rPr>
      <w:vertAlign w:val="superscript"/>
    </w:rPr>
  </w:style>
  <w:style w:type="character" w:styleId="FollowedHyperlink">
    <w:name w:val="FollowedHyperlink"/>
    <w:basedOn w:val="DefaultParagraphFont"/>
    <w:rsid w:val="00F067A9"/>
    <w:rPr>
      <w:color w:val="800080"/>
      <w:u w:val="single"/>
    </w:rPr>
  </w:style>
  <w:style w:type="paragraph" w:styleId="PlainText">
    <w:name w:val="Plain Text"/>
    <w:basedOn w:val="Normal"/>
    <w:rsid w:val="00F067A9"/>
    <w:rPr>
      <w:rFonts w:ascii="Courier New" w:hAnsi="Courier New" w:cs="Courier New"/>
    </w:rPr>
  </w:style>
  <w:style w:type="paragraph" w:styleId="BalloonText">
    <w:name w:val="Balloon Text"/>
    <w:basedOn w:val="Normal"/>
    <w:link w:val="BalloonTextChar"/>
    <w:rsid w:val="00CD4269"/>
    <w:rPr>
      <w:rFonts w:ascii="Tahoma" w:hAnsi="Tahoma" w:cs="Tahoma"/>
      <w:sz w:val="16"/>
      <w:szCs w:val="16"/>
    </w:rPr>
  </w:style>
  <w:style w:type="character" w:customStyle="1" w:styleId="BalloonTextChar">
    <w:name w:val="Balloon Text Char"/>
    <w:basedOn w:val="DefaultParagraphFont"/>
    <w:link w:val="BalloonText"/>
    <w:rsid w:val="00CD4269"/>
    <w:rPr>
      <w:rFonts w:ascii="Tahoma" w:hAnsi="Tahoma" w:cs="Tahoma"/>
      <w:sz w:val="16"/>
      <w:szCs w:val="16"/>
      <w:lang w:eastAsia="en-US"/>
    </w:rPr>
  </w:style>
  <w:style w:type="paragraph" w:styleId="NormalWeb">
    <w:name w:val="Normal (Web)"/>
    <w:basedOn w:val="Normal"/>
    <w:uiPriority w:val="99"/>
    <w:unhideWhenUsed/>
    <w:rsid w:val="00994654"/>
    <w:pPr>
      <w:spacing w:after="336"/>
    </w:pPr>
    <w:rPr>
      <w:sz w:val="24"/>
      <w:szCs w:val="24"/>
      <w:lang w:eastAsia="en-GB"/>
    </w:rPr>
  </w:style>
  <w:style w:type="character" w:customStyle="1" w:styleId="open">
    <w:name w:val="open"/>
    <w:basedOn w:val="DefaultParagraphFont"/>
    <w:rsid w:val="00A04BF0"/>
  </w:style>
  <w:style w:type="character" w:customStyle="1" w:styleId="Heading3Char">
    <w:name w:val="Heading 3 Char"/>
    <w:basedOn w:val="DefaultParagraphFont"/>
    <w:link w:val="Heading3"/>
    <w:uiPriority w:val="9"/>
    <w:rsid w:val="007734D3"/>
    <w:rPr>
      <w:b/>
      <w:bCs/>
      <w:sz w:val="27"/>
      <w:szCs w:val="27"/>
    </w:rPr>
  </w:style>
  <w:style w:type="character" w:customStyle="1" w:styleId="byline">
    <w:name w:val="byline"/>
    <w:basedOn w:val="DefaultParagraphFont"/>
    <w:rsid w:val="007734D3"/>
  </w:style>
  <w:style w:type="character" w:styleId="Emphasis">
    <w:name w:val="Emphasis"/>
    <w:basedOn w:val="DefaultParagraphFont"/>
    <w:uiPriority w:val="20"/>
    <w:qFormat/>
    <w:rsid w:val="007734D3"/>
    <w:rPr>
      <w:i/>
      <w:iCs/>
    </w:rPr>
  </w:style>
  <w:style w:type="character" w:customStyle="1" w:styleId="nikfootnoteChar">
    <w:name w:val="nik footnote Char"/>
    <w:basedOn w:val="DefaultParagraphFont"/>
    <w:link w:val="nikfootnote"/>
    <w:rsid w:val="00D53A1A"/>
    <w:rPr>
      <w:lang w:eastAsia="en-US"/>
    </w:rPr>
  </w:style>
  <w:style w:type="character" w:customStyle="1" w:styleId="nojs">
    <w:name w:val="nojs"/>
    <w:basedOn w:val="DefaultParagraphFont"/>
    <w:rsid w:val="005A5CD0"/>
  </w:style>
  <w:style w:type="character" w:customStyle="1" w:styleId="previewbar2">
    <w:name w:val="previewbar2"/>
    <w:basedOn w:val="DefaultParagraphFont"/>
    <w:rsid w:val="005A5CD0"/>
  </w:style>
  <w:style w:type="paragraph" w:customStyle="1" w:styleId="nikoneindenttext15Char">
    <w:name w:val="nik oneindent text1.5 Char"/>
    <w:basedOn w:val="nikoneindenttext"/>
    <w:link w:val="nikoneindenttext15CharChar"/>
    <w:rsid w:val="00757B83"/>
    <w:pPr>
      <w:spacing w:line="360" w:lineRule="auto"/>
    </w:pPr>
  </w:style>
  <w:style w:type="character" w:customStyle="1" w:styleId="nikoneindenttext15CharChar">
    <w:name w:val="nik oneindent text1.5 Char Char"/>
    <w:basedOn w:val="DefaultParagraphFont"/>
    <w:link w:val="nikoneindenttext15Char"/>
    <w:rsid w:val="00757B83"/>
    <w:rPr>
      <w:sz w:val="24"/>
      <w:lang w:eastAsia="en-US"/>
    </w:rPr>
  </w:style>
  <w:style w:type="character" w:customStyle="1" w:styleId="maintextheader1">
    <w:name w:val="maintextheader1"/>
    <w:basedOn w:val="DefaultParagraphFont"/>
    <w:rsid w:val="00947832"/>
    <w:rPr>
      <w:rFonts w:ascii="Arial" w:hAnsi="Arial" w:cs="Arial" w:hint="default"/>
      <w:b/>
      <w:bCs/>
      <w:sz w:val="25"/>
      <w:szCs w:val="25"/>
    </w:rPr>
  </w:style>
  <w:style w:type="character" w:customStyle="1" w:styleId="maintext1">
    <w:name w:val="maintext1"/>
    <w:basedOn w:val="DefaultParagraphFont"/>
    <w:rsid w:val="00947832"/>
    <w:rPr>
      <w:rFonts w:ascii="Arial" w:hAnsi="Arial" w:cs="Arial" w:hint="default"/>
      <w:sz w:val="18"/>
      <w:szCs w:val="18"/>
    </w:rPr>
  </w:style>
  <w:style w:type="paragraph" w:customStyle="1" w:styleId="maintextheader">
    <w:name w:val="maintextheader"/>
    <w:basedOn w:val="Normal"/>
    <w:rsid w:val="00C64528"/>
    <w:pPr>
      <w:spacing w:before="100" w:beforeAutospacing="1" w:after="100" w:afterAutospacing="1"/>
    </w:pPr>
    <w:rPr>
      <w:sz w:val="24"/>
      <w:szCs w:val="24"/>
      <w:lang w:eastAsia="en-GB"/>
    </w:rPr>
  </w:style>
  <w:style w:type="paragraph" w:customStyle="1" w:styleId="maintext">
    <w:name w:val="maintext"/>
    <w:basedOn w:val="Normal"/>
    <w:rsid w:val="00C64528"/>
    <w:pPr>
      <w:spacing w:before="100" w:beforeAutospacing="1" w:after="100" w:afterAutospacing="1"/>
    </w:pPr>
    <w:rPr>
      <w:sz w:val="24"/>
      <w:szCs w:val="24"/>
      <w:lang w:eastAsia="en-GB"/>
    </w:rPr>
  </w:style>
  <w:style w:type="character" w:customStyle="1" w:styleId="subboxheader">
    <w:name w:val="subboxheader"/>
    <w:basedOn w:val="DefaultParagraphFont"/>
    <w:rsid w:val="00AD7F56"/>
  </w:style>
  <w:style w:type="character" w:customStyle="1" w:styleId="Heading2Char">
    <w:name w:val="Heading 2 Char"/>
    <w:basedOn w:val="DefaultParagraphFont"/>
    <w:link w:val="Heading2"/>
    <w:rsid w:val="00F00822"/>
    <w:rPr>
      <w:rFonts w:asciiTheme="majorHAnsi" w:eastAsiaTheme="majorEastAsia" w:hAnsiTheme="majorHAnsi" w:cstheme="majorBidi"/>
      <w:b/>
      <w:bCs/>
      <w:color w:val="4F81BD" w:themeColor="accent1"/>
      <w:sz w:val="26"/>
      <w:szCs w:val="26"/>
      <w:lang w:eastAsia="en-US"/>
    </w:rPr>
  </w:style>
  <w:style w:type="character" w:customStyle="1" w:styleId="toctoggle">
    <w:name w:val="toctoggle"/>
    <w:basedOn w:val="DefaultParagraphFont"/>
    <w:rsid w:val="00F00822"/>
  </w:style>
  <w:style w:type="character" w:customStyle="1" w:styleId="tocnumber2">
    <w:name w:val="tocnumber2"/>
    <w:basedOn w:val="DefaultParagraphFont"/>
    <w:rsid w:val="00F00822"/>
  </w:style>
  <w:style w:type="character" w:customStyle="1" w:styleId="toctext">
    <w:name w:val="toctext"/>
    <w:basedOn w:val="DefaultParagraphFont"/>
    <w:rsid w:val="00F00822"/>
  </w:style>
  <w:style w:type="character" w:customStyle="1" w:styleId="editsection">
    <w:name w:val="editsection"/>
    <w:basedOn w:val="DefaultParagraphFont"/>
    <w:rsid w:val="00F00822"/>
  </w:style>
  <w:style w:type="character" w:customStyle="1" w:styleId="mw-headline">
    <w:name w:val="mw-headline"/>
    <w:basedOn w:val="DefaultParagraphFont"/>
    <w:rsid w:val="00F00822"/>
  </w:style>
  <w:style w:type="paragraph" w:styleId="HTMLPreformatted">
    <w:name w:val="HTML Preformatted"/>
    <w:basedOn w:val="Normal"/>
    <w:link w:val="HTMLPreformattedChar"/>
    <w:uiPriority w:val="99"/>
    <w:unhideWhenUsed/>
    <w:rsid w:val="00CA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CA7AB5"/>
    <w:rPr>
      <w:rFonts w:ascii="Courier New" w:hAnsi="Courier New" w:cs="Courier New"/>
    </w:rPr>
  </w:style>
  <w:style w:type="character" w:customStyle="1" w:styleId="Normal1">
    <w:name w:val="Normal1"/>
    <w:basedOn w:val="DefaultParagraphFont"/>
    <w:rsid w:val="007A1473"/>
  </w:style>
  <w:style w:type="paragraph" w:styleId="CommentText">
    <w:name w:val="annotation text"/>
    <w:basedOn w:val="Normal"/>
    <w:link w:val="CommentTextChar"/>
    <w:rsid w:val="00F97429"/>
  </w:style>
  <w:style w:type="character" w:customStyle="1" w:styleId="CommentTextChar">
    <w:name w:val="Comment Text Char"/>
    <w:basedOn w:val="DefaultParagraphFont"/>
    <w:link w:val="CommentText"/>
    <w:rsid w:val="00F97429"/>
    <w:rPr>
      <w:lang w:eastAsia="en-US"/>
    </w:rPr>
  </w:style>
  <w:style w:type="character" w:customStyle="1" w:styleId="niktext15Char">
    <w:name w:val="nik text1.5 Char"/>
    <w:basedOn w:val="DefaultParagraphFont"/>
    <w:link w:val="niktext15"/>
    <w:rsid w:val="00DC5F87"/>
    <w:rPr>
      <w:sz w:val="24"/>
      <w:lang w:eastAsia="en-US"/>
    </w:rPr>
  </w:style>
  <w:style w:type="character" w:customStyle="1" w:styleId="QuoteChar">
    <w:name w:val="Quote Char"/>
    <w:basedOn w:val="DefaultParagraphFont"/>
    <w:link w:val="Quote"/>
    <w:uiPriority w:val="29"/>
    <w:rsid w:val="00ED109C"/>
    <w:rPr>
      <w:iCs/>
      <w:color w:val="000000" w:themeColor="text1"/>
      <w:sz w:val="24"/>
      <w:lang w:eastAsia="en-US"/>
    </w:rPr>
  </w:style>
  <w:style w:type="paragraph" w:styleId="Quote">
    <w:name w:val="Quote"/>
    <w:basedOn w:val="Normal"/>
    <w:next w:val="Normal"/>
    <w:link w:val="QuoteChar"/>
    <w:uiPriority w:val="29"/>
    <w:qFormat/>
    <w:rsid w:val="00ED109C"/>
    <w:pPr>
      <w:ind w:left="851" w:right="1134"/>
    </w:pPr>
    <w:rPr>
      <w:iCs/>
      <w:color w:val="000000" w:themeColor="text1"/>
      <w:sz w:val="24"/>
    </w:rPr>
  </w:style>
  <w:style w:type="character" w:customStyle="1" w:styleId="QuoteChar1">
    <w:name w:val="Quote Char1"/>
    <w:basedOn w:val="DefaultParagraphFont"/>
    <w:uiPriority w:val="29"/>
    <w:rsid w:val="00ED109C"/>
    <w:rPr>
      <w:i/>
      <w:iCs/>
      <w:color w:val="000000" w:themeColor="text1"/>
      <w:lang w:eastAsia="en-US"/>
    </w:rPr>
  </w:style>
  <w:style w:type="character" w:styleId="CommentReference">
    <w:name w:val="annotation reference"/>
    <w:basedOn w:val="DefaultParagraphFont"/>
    <w:rsid w:val="00442807"/>
    <w:rPr>
      <w:sz w:val="16"/>
      <w:szCs w:val="16"/>
    </w:rPr>
  </w:style>
  <w:style w:type="paragraph" w:styleId="CommentSubject">
    <w:name w:val="annotation subject"/>
    <w:basedOn w:val="CommentText"/>
    <w:next w:val="CommentText"/>
    <w:link w:val="CommentSubjectChar"/>
    <w:rsid w:val="00442807"/>
    <w:rPr>
      <w:b/>
      <w:bCs/>
    </w:rPr>
  </w:style>
  <w:style w:type="character" w:customStyle="1" w:styleId="CommentSubjectChar">
    <w:name w:val="Comment Subject Char"/>
    <w:basedOn w:val="CommentTextChar"/>
    <w:link w:val="CommentSubject"/>
    <w:rsid w:val="00442807"/>
    <w:rPr>
      <w:b/>
      <w:bCs/>
      <w:lang w:eastAsia="en-US"/>
    </w:rPr>
  </w:style>
  <w:style w:type="character" w:customStyle="1" w:styleId="niktext15CharChar">
    <w:name w:val="nik text1.5 Char Char"/>
    <w:basedOn w:val="DefaultParagraphFont"/>
    <w:rsid w:val="008D5D65"/>
    <w:rPr>
      <w:sz w:val="24"/>
      <w:lang w:eastAsia="en-US"/>
    </w:rPr>
  </w:style>
  <w:style w:type="table" w:styleId="TableGrid">
    <w:name w:val="Table Grid"/>
    <w:basedOn w:val="TableNormal"/>
    <w:uiPriority w:val="39"/>
    <w:rsid w:val="00E01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8F7301"/>
    <w:rPr>
      <w:lang w:eastAsia="en-US"/>
    </w:rPr>
  </w:style>
  <w:style w:type="paragraph" w:styleId="Revision">
    <w:name w:val="Revision"/>
    <w:hidden/>
    <w:uiPriority w:val="99"/>
    <w:semiHidden/>
    <w:rsid w:val="003A3B6A"/>
    <w:rPr>
      <w:lang w:eastAsia="en-US"/>
    </w:rPr>
  </w:style>
  <w:style w:type="character" w:styleId="UnresolvedMention">
    <w:name w:val="Unresolved Mention"/>
    <w:basedOn w:val="DefaultParagraphFont"/>
    <w:uiPriority w:val="99"/>
    <w:semiHidden/>
    <w:unhideWhenUsed/>
    <w:rsid w:val="009D3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5981">
      <w:bodyDiv w:val="1"/>
      <w:marLeft w:val="0"/>
      <w:marRight w:val="0"/>
      <w:marTop w:val="0"/>
      <w:marBottom w:val="0"/>
      <w:divBdr>
        <w:top w:val="none" w:sz="0" w:space="0" w:color="auto"/>
        <w:left w:val="none" w:sz="0" w:space="0" w:color="auto"/>
        <w:bottom w:val="none" w:sz="0" w:space="0" w:color="auto"/>
        <w:right w:val="none" w:sz="0" w:space="0" w:color="auto"/>
      </w:divBdr>
    </w:div>
    <w:div w:id="19476307">
      <w:bodyDiv w:val="1"/>
      <w:marLeft w:val="0"/>
      <w:marRight w:val="0"/>
      <w:marTop w:val="0"/>
      <w:marBottom w:val="0"/>
      <w:divBdr>
        <w:top w:val="none" w:sz="0" w:space="0" w:color="auto"/>
        <w:left w:val="none" w:sz="0" w:space="0" w:color="auto"/>
        <w:bottom w:val="none" w:sz="0" w:space="0" w:color="auto"/>
        <w:right w:val="none" w:sz="0" w:space="0" w:color="auto"/>
      </w:divBdr>
    </w:div>
    <w:div w:id="60831721">
      <w:bodyDiv w:val="1"/>
      <w:marLeft w:val="0"/>
      <w:marRight w:val="0"/>
      <w:marTop w:val="0"/>
      <w:marBottom w:val="0"/>
      <w:divBdr>
        <w:top w:val="none" w:sz="0" w:space="0" w:color="auto"/>
        <w:left w:val="none" w:sz="0" w:space="0" w:color="auto"/>
        <w:bottom w:val="none" w:sz="0" w:space="0" w:color="auto"/>
        <w:right w:val="none" w:sz="0" w:space="0" w:color="auto"/>
      </w:divBdr>
    </w:div>
    <w:div w:id="69624418">
      <w:bodyDiv w:val="1"/>
      <w:marLeft w:val="0"/>
      <w:marRight w:val="0"/>
      <w:marTop w:val="0"/>
      <w:marBottom w:val="0"/>
      <w:divBdr>
        <w:top w:val="none" w:sz="0" w:space="0" w:color="auto"/>
        <w:left w:val="none" w:sz="0" w:space="0" w:color="auto"/>
        <w:bottom w:val="none" w:sz="0" w:space="0" w:color="auto"/>
        <w:right w:val="none" w:sz="0" w:space="0" w:color="auto"/>
      </w:divBdr>
    </w:div>
    <w:div w:id="73281372">
      <w:bodyDiv w:val="1"/>
      <w:marLeft w:val="0"/>
      <w:marRight w:val="0"/>
      <w:marTop w:val="0"/>
      <w:marBottom w:val="0"/>
      <w:divBdr>
        <w:top w:val="none" w:sz="0" w:space="0" w:color="auto"/>
        <w:left w:val="none" w:sz="0" w:space="0" w:color="auto"/>
        <w:bottom w:val="none" w:sz="0" w:space="0" w:color="auto"/>
        <w:right w:val="none" w:sz="0" w:space="0" w:color="auto"/>
      </w:divBdr>
      <w:divsChild>
        <w:div w:id="1271208895">
          <w:marLeft w:val="127"/>
          <w:marRight w:val="79"/>
          <w:marTop w:val="0"/>
          <w:marBottom w:val="0"/>
          <w:divBdr>
            <w:top w:val="none" w:sz="0" w:space="0" w:color="auto"/>
            <w:left w:val="none" w:sz="0" w:space="0" w:color="auto"/>
            <w:bottom w:val="none" w:sz="0" w:space="0" w:color="auto"/>
            <w:right w:val="none" w:sz="0" w:space="0" w:color="auto"/>
          </w:divBdr>
          <w:divsChild>
            <w:div w:id="1841037687">
              <w:marLeft w:val="0"/>
              <w:marRight w:val="0"/>
              <w:marTop w:val="0"/>
              <w:marBottom w:val="0"/>
              <w:divBdr>
                <w:top w:val="none" w:sz="0" w:space="0" w:color="auto"/>
                <w:left w:val="none" w:sz="0" w:space="0" w:color="auto"/>
                <w:bottom w:val="none" w:sz="0" w:space="0" w:color="auto"/>
                <w:right w:val="none" w:sz="0" w:space="0" w:color="auto"/>
              </w:divBdr>
              <w:divsChild>
                <w:div w:id="759257327">
                  <w:marLeft w:val="0"/>
                  <w:marRight w:val="0"/>
                  <w:marTop w:val="0"/>
                  <w:marBottom w:val="0"/>
                  <w:divBdr>
                    <w:top w:val="none" w:sz="0" w:space="0" w:color="auto"/>
                    <w:left w:val="none" w:sz="0" w:space="0" w:color="auto"/>
                    <w:bottom w:val="none" w:sz="0" w:space="0" w:color="auto"/>
                    <w:right w:val="none" w:sz="0" w:space="0" w:color="auto"/>
                  </w:divBdr>
                  <w:divsChild>
                    <w:div w:id="1713261357">
                      <w:marLeft w:val="0"/>
                      <w:marRight w:val="0"/>
                      <w:marTop w:val="0"/>
                      <w:marBottom w:val="0"/>
                      <w:divBdr>
                        <w:top w:val="single" w:sz="6" w:space="2" w:color="999999"/>
                        <w:left w:val="single" w:sz="6" w:space="2" w:color="999999"/>
                        <w:bottom w:val="single" w:sz="6" w:space="2" w:color="999999"/>
                        <w:right w:val="single" w:sz="6" w:space="2" w:color="999999"/>
                      </w:divBdr>
                      <w:divsChild>
                        <w:div w:id="718285910">
                          <w:marLeft w:val="3402"/>
                          <w:marRight w:val="79"/>
                          <w:marTop w:val="0"/>
                          <w:marBottom w:val="0"/>
                          <w:divBdr>
                            <w:top w:val="none" w:sz="0" w:space="0" w:color="auto"/>
                            <w:left w:val="none" w:sz="0" w:space="0" w:color="auto"/>
                            <w:bottom w:val="none" w:sz="0" w:space="0" w:color="auto"/>
                            <w:right w:val="none" w:sz="0" w:space="0" w:color="auto"/>
                          </w:divBdr>
                          <w:divsChild>
                            <w:div w:id="2076850258">
                              <w:marLeft w:val="0"/>
                              <w:marRight w:val="0"/>
                              <w:marTop w:val="0"/>
                              <w:marBottom w:val="0"/>
                              <w:divBdr>
                                <w:top w:val="none" w:sz="0" w:space="0" w:color="auto"/>
                                <w:left w:val="none" w:sz="0" w:space="0" w:color="auto"/>
                                <w:bottom w:val="none" w:sz="0" w:space="0" w:color="auto"/>
                                <w:right w:val="none" w:sz="0" w:space="0" w:color="auto"/>
                              </w:divBdr>
                              <w:divsChild>
                                <w:div w:id="726874656">
                                  <w:marLeft w:val="0"/>
                                  <w:marRight w:val="0"/>
                                  <w:marTop w:val="0"/>
                                  <w:marBottom w:val="0"/>
                                  <w:divBdr>
                                    <w:top w:val="dashed" w:sz="6" w:space="0" w:color="auto"/>
                                    <w:left w:val="none" w:sz="0" w:space="0" w:color="auto"/>
                                    <w:bottom w:val="none" w:sz="0" w:space="0" w:color="999999"/>
                                    <w:right w:val="none" w:sz="0" w:space="0" w:color="auto"/>
                                  </w:divBdr>
                                  <w:divsChild>
                                    <w:div w:id="470826513">
                                      <w:marLeft w:val="0"/>
                                      <w:marRight w:val="0"/>
                                      <w:marTop w:val="0"/>
                                      <w:marBottom w:val="0"/>
                                      <w:divBdr>
                                        <w:top w:val="none" w:sz="0" w:space="0" w:color="auto"/>
                                        <w:left w:val="none" w:sz="0" w:space="0" w:color="auto"/>
                                        <w:bottom w:val="none" w:sz="0" w:space="0" w:color="auto"/>
                                        <w:right w:val="none" w:sz="0" w:space="0" w:color="auto"/>
                                      </w:divBdr>
                                      <w:divsChild>
                                        <w:div w:id="606960786">
                                          <w:marLeft w:val="0"/>
                                          <w:marRight w:val="0"/>
                                          <w:marTop w:val="0"/>
                                          <w:marBottom w:val="0"/>
                                          <w:divBdr>
                                            <w:top w:val="none" w:sz="0" w:space="0" w:color="auto"/>
                                            <w:left w:val="none" w:sz="0" w:space="0" w:color="auto"/>
                                            <w:bottom w:val="none" w:sz="0" w:space="0" w:color="auto"/>
                                            <w:right w:val="none" w:sz="0" w:space="0" w:color="auto"/>
                                          </w:divBdr>
                                          <w:divsChild>
                                            <w:div w:id="1066759737">
                                              <w:marLeft w:val="0"/>
                                              <w:marRight w:val="0"/>
                                              <w:marTop w:val="0"/>
                                              <w:marBottom w:val="0"/>
                                              <w:divBdr>
                                                <w:top w:val="none" w:sz="0" w:space="0" w:color="auto"/>
                                                <w:left w:val="none" w:sz="0" w:space="0" w:color="auto"/>
                                                <w:bottom w:val="none" w:sz="0" w:space="0" w:color="auto"/>
                                                <w:right w:val="none" w:sz="0" w:space="0" w:color="auto"/>
                                              </w:divBdr>
                                              <w:divsChild>
                                                <w:div w:id="1567455382">
                                                  <w:marLeft w:val="0"/>
                                                  <w:marRight w:val="0"/>
                                                  <w:marTop w:val="0"/>
                                                  <w:marBottom w:val="0"/>
                                                  <w:divBdr>
                                                    <w:top w:val="none" w:sz="0" w:space="0" w:color="auto"/>
                                                    <w:left w:val="none" w:sz="0" w:space="0" w:color="auto"/>
                                                    <w:bottom w:val="none" w:sz="0" w:space="0" w:color="auto"/>
                                                    <w:right w:val="none" w:sz="0" w:space="0" w:color="auto"/>
                                                  </w:divBdr>
                                                  <w:divsChild>
                                                    <w:div w:id="293683994">
                                                      <w:marLeft w:val="0"/>
                                                      <w:marRight w:val="0"/>
                                                      <w:marTop w:val="0"/>
                                                      <w:marBottom w:val="0"/>
                                                      <w:divBdr>
                                                        <w:top w:val="none" w:sz="0" w:space="0" w:color="auto"/>
                                                        <w:left w:val="none" w:sz="0" w:space="0" w:color="auto"/>
                                                        <w:bottom w:val="none" w:sz="0" w:space="0" w:color="auto"/>
                                                        <w:right w:val="none" w:sz="0" w:space="0" w:color="auto"/>
                                                      </w:divBdr>
                                                    </w:div>
                                                  </w:divsChild>
                                                </w:div>
                                                <w:div w:id="21403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475156">
      <w:bodyDiv w:val="1"/>
      <w:marLeft w:val="0"/>
      <w:marRight w:val="0"/>
      <w:marTop w:val="0"/>
      <w:marBottom w:val="0"/>
      <w:divBdr>
        <w:top w:val="none" w:sz="0" w:space="0" w:color="auto"/>
        <w:left w:val="none" w:sz="0" w:space="0" w:color="auto"/>
        <w:bottom w:val="none" w:sz="0" w:space="0" w:color="auto"/>
        <w:right w:val="none" w:sz="0" w:space="0" w:color="auto"/>
      </w:divBdr>
    </w:div>
    <w:div w:id="236861716">
      <w:bodyDiv w:val="1"/>
      <w:marLeft w:val="0"/>
      <w:marRight w:val="0"/>
      <w:marTop w:val="0"/>
      <w:marBottom w:val="0"/>
      <w:divBdr>
        <w:top w:val="none" w:sz="0" w:space="0" w:color="auto"/>
        <w:left w:val="none" w:sz="0" w:space="0" w:color="auto"/>
        <w:bottom w:val="none" w:sz="0" w:space="0" w:color="auto"/>
        <w:right w:val="none" w:sz="0" w:space="0" w:color="auto"/>
      </w:divBdr>
    </w:div>
    <w:div w:id="264968694">
      <w:bodyDiv w:val="1"/>
      <w:marLeft w:val="0"/>
      <w:marRight w:val="0"/>
      <w:marTop w:val="0"/>
      <w:marBottom w:val="0"/>
      <w:divBdr>
        <w:top w:val="none" w:sz="0" w:space="0" w:color="auto"/>
        <w:left w:val="none" w:sz="0" w:space="0" w:color="auto"/>
        <w:bottom w:val="none" w:sz="0" w:space="0" w:color="auto"/>
        <w:right w:val="none" w:sz="0" w:space="0" w:color="auto"/>
      </w:divBdr>
    </w:div>
    <w:div w:id="271059106">
      <w:bodyDiv w:val="1"/>
      <w:marLeft w:val="0"/>
      <w:marRight w:val="0"/>
      <w:marTop w:val="0"/>
      <w:marBottom w:val="0"/>
      <w:divBdr>
        <w:top w:val="none" w:sz="0" w:space="0" w:color="auto"/>
        <w:left w:val="none" w:sz="0" w:space="0" w:color="auto"/>
        <w:bottom w:val="none" w:sz="0" w:space="0" w:color="auto"/>
        <w:right w:val="none" w:sz="0" w:space="0" w:color="auto"/>
      </w:divBdr>
    </w:div>
    <w:div w:id="413210366">
      <w:bodyDiv w:val="1"/>
      <w:marLeft w:val="1582"/>
      <w:marRight w:val="1582"/>
      <w:marTop w:val="316"/>
      <w:marBottom w:val="79"/>
      <w:divBdr>
        <w:top w:val="none" w:sz="0" w:space="0" w:color="auto"/>
        <w:left w:val="none" w:sz="0" w:space="0" w:color="auto"/>
        <w:bottom w:val="none" w:sz="0" w:space="0" w:color="auto"/>
        <w:right w:val="none" w:sz="0" w:space="0" w:color="auto"/>
      </w:divBdr>
      <w:divsChild>
        <w:div w:id="1464693975">
          <w:marLeft w:val="0"/>
          <w:marRight w:val="0"/>
          <w:marTop w:val="0"/>
          <w:marBottom w:val="0"/>
          <w:divBdr>
            <w:top w:val="none" w:sz="0" w:space="0" w:color="auto"/>
            <w:left w:val="single" w:sz="6" w:space="8" w:color="999999"/>
            <w:bottom w:val="single" w:sz="6" w:space="8" w:color="999999"/>
            <w:right w:val="single" w:sz="6" w:space="8" w:color="999999"/>
          </w:divBdr>
        </w:div>
      </w:divsChild>
    </w:div>
    <w:div w:id="453718220">
      <w:bodyDiv w:val="1"/>
      <w:marLeft w:val="0"/>
      <w:marRight w:val="0"/>
      <w:marTop w:val="0"/>
      <w:marBottom w:val="0"/>
      <w:divBdr>
        <w:top w:val="none" w:sz="0" w:space="0" w:color="auto"/>
        <w:left w:val="none" w:sz="0" w:space="0" w:color="auto"/>
        <w:bottom w:val="none" w:sz="0" w:space="0" w:color="auto"/>
        <w:right w:val="none" w:sz="0" w:space="0" w:color="auto"/>
      </w:divBdr>
    </w:div>
    <w:div w:id="481968064">
      <w:bodyDiv w:val="1"/>
      <w:marLeft w:val="0"/>
      <w:marRight w:val="0"/>
      <w:marTop w:val="0"/>
      <w:marBottom w:val="0"/>
      <w:divBdr>
        <w:top w:val="none" w:sz="0" w:space="0" w:color="auto"/>
        <w:left w:val="none" w:sz="0" w:space="0" w:color="auto"/>
        <w:bottom w:val="none" w:sz="0" w:space="0" w:color="auto"/>
        <w:right w:val="none" w:sz="0" w:space="0" w:color="auto"/>
      </w:divBdr>
      <w:divsChild>
        <w:div w:id="37895523">
          <w:marLeft w:val="0"/>
          <w:marRight w:val="0"/>
          <w:marTop w:val="0"/>
          <w:marBottom w:val="0"/>
          <w:divBdr>
            <w:top w:val="none" w:sz="0" w:space="0" w:color="auto"/>
            <w:left w:val="none" w:sz="0" w:space="0" w:color="auto"/>
            <w:bottom w:val="none" w:sz="0" w:space="0" w:color="auto"/>
            <w:right w:val="none" w:sz="0" w:space="0" w:color="auto"/>
          </w:divBdr>
          <w:divsChild>
            <w:div w:id="2090156373">
              <w:marLeft w:val="0"/>
              <w:marRight w:val="0"/>
              <w:marTop w:val="0"/>
              <w:marBottom w:val="0"/>
              <w:divBdr>
                <w:top w:val="none" w:sz="0" w:space="0" w:color="auto"/>
                <w:left w:val="none" w:sz="0" w:space="0" w:color="auto"/>
                <w:bottom w:val="none" w:sz="0" w:space="0" w:color="auto"/>
                <w:right w:val="none" w:sz="0" w:space="0" w:color="auto"/>
              </w:divBdr>
              <w:divsChild>
                <w:div w:id="6252127">
                  <w:marLeft w:val="0"/>
                  <w:marRight w:val="0"/>
                  <w:marTop w:val="0"/>
                  <w:marBottom w:val="0"/>
                  <w:divBdr>
                    <w:top w:val="none" w:sz="0" w:space="0" w:color="auto"/>
                    <w:left w:val="none" w:sz="0" w:space="0" w:color="auto"/>
                    <w:bottom w:val="none" w:sz="0" w:space="0" w:color="auto"/>
                    <w:right w:val="none" w:sz="0" w:space="0" w:color="auto"/>
                  </w:divBdr>
                  <w:divsChild>
                    <w:div w:id="2074112762">
                      <w:marLeft w:val="0"/>
                      <w:marRight w:val="0"/>
                      <w:marTop w:val="0"/>
                      <w:marBottom w:val="0"/>
                      <w:divBdr>
                        <w:top w:val="none" w:sz="0" w:space="0" w:color="auto"/>
                        <w:left w:val="none" w:sz="0" w:space="0" w:color="auto"/>
                        <w:bottom w:val="none" w:sz="0" w:space="0" w:color="auto"/>
                        <w:right w:val="none" w:sz="0" w:space="0" w:color="auto"/>
                      </w:divBdr>
                      <w:divsChild>
                        <w:div w:id="929243853">
                          <w:marLeft w:val="0"/>
                          <w:marRight w:val="0"/>
                          <w:marTop w:val="0"/>
                          <w:marBottom w:val="0"/>
                          <w:divBdr>
                            <w:top w:val="none" w:sz="0" w:space="0" w:color="auto"/>
                            <w:left w:val="none" w:sz="0" w:space="0" w:color="auto"/>
                            <w:bottom w:val="none" w:sz="0" w:space="0" w:color="auto"/>
                            <w:right w:val="none" w:sz="0" w:space="0" w:color="auto"/>
                          </w:divBdr>
                        </w:div>
                        <w:div w:id="208275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48043">
      <w:bodyDiv w:val="1"/>
      <w:marLeft w:val="0"/>
      <w:marRight w:val="0"/>
      <w:marTop w:val="0"/>
      <w:marBottom w:val="0"/>
      <w:divBdr>
        <w:top w:val="none" w:sz="0" w:space="0" w:color="auto"/>
        <w:left w:val="none" w:sz="0" w:space="0" w:color="auto"/>
        <w:bottom w:val="none" w:sz="0" w:space="0" w:color="auto"/>
        <w:right w:val="none" w:sz="0" w:space="0" w:color="auto"/>
      </w:divBdr>
    </w:div>
    <w:div w:id="620382073">
      <w:bodyDiv w:val="1"/>
      <w:marLeft w:val="0"/>
      <w:marRight w:val="0"/>
      <w:marTop w:val="0"/>
      <w:marBottom w:val="0"/>
      <w:divBdr>
        <w:top w:val="none" w:sz="0" w:space="0" w:color="auto"/>
        <w:left w:val="none" w:sz="0" w:space="0" w:color="auto"/>
        <w:bottom w:val="none" w:sz="0" w:space="0" w:color="auto"/>
        <w:right w:val="none" w:sz="0" w:space="0" w:color="auto"/>
      </w:divBdr>
    </w:div>
    <w:div w:id="630670946">
      <w:bodyDiv w:val="1"/>
      <w:marLeft w:val="0"/>
      <w:marRight w:val="0"/>
      <w:marTop w:val="0"/>
      <w:marBottom w:val="0"/>
      <w:divBdr>
        <w:top w:val="none" w:sz="0" w:space="0" w:color="auto"/>
        <w:left w:val="none" w:sz="0" w:space="0" w:color="auto"/>
        <w:bottom w:val="none" w:sz="0" w:space="0" w:color="auto"/>
        <w:right w:val="none" w:sz="0" w:space="0" w:color="auto"/>
      </w:divBdr>
    </w:div>
    <w:div w:id="722555886">
      <w:bodyDiv w:val="1"/>
      <w:marLeft w:val="0"/>
      <w:marRight w:val="0"/>
      <w:marTop w:val="0"/>
      <w:marBottom w:val="0"/>
      <w:divBdr>
        <w:top w:val="none" w:sz="0" w:space="0" w:color="auto"/>
        <w:left w:val="none" w:sz="0" w:space="0" w:color="auto"/>
        <w:bottom w:val="none" w:sz="0" w:space="0" w:color="auto"/>
        <w:right w:val="none" w:sz="0" w:space="0" w:color="auto"/>
      </w:divBdr>
    </w:div>
    <w:div w:id="741490897">
      <w:bodyDiv w:val="1"/>
      <w:marLeft w:val="0"/>
      <w:marRight w:val="0"/>
      <w:marTop w:val="0"/>
      <w:marBottom w:val="0"/>
      <w:divBdr>
        <w:top w:val="none" w:sz="0" w:space="0" w:color="auto"/>
        <w:left w:val="none" w:sz="0" w:space="0" w:color="auto"/>
        <w:bottom w:val="none" w:sz="0" w:space="0" w:color="auto"/>
        <w:right w:val="none" w:sz="0" w:space="0" w:color="auto"/>
      </w:divBdr>
    </w:div>
    <w:div w:id="743070560">
      <w:bodyDiv w:val="1"/>
      <w:marLeft w:val="0"/>
      <w:marRight w:val="0"/>
      <w:marTop w:val="0"/>
      <w:marBottom w:val="0"/>
      <w:divBdr>
        <w:top w:val="none" w:sz="0" w:space="0" w:color="auto"/>
        <w:left w:val="none" w:sz="0" w:space="0" w:color="auto"/>
        <w:bottom w:val="none" w:sz="0" w:space="0" w:color="auto"/>
        <w:right w:val="none" w:sz="0" w:space="0" w:color="auto"/>
      </w:divBdr>
    </w:div>
    <w:div w:id="830484749">
      <w:bodyDiv w:val="1"/>
      <w:marLeft w:val="0"/>
      <w:marRight w:val="0"/>
      <w:marTop w:val="0"/>
      <w:marBottom w:val="0"/>
      <w:divBdr>
        <w:top w:val="none" w:sz="0" w:space="0" w:color="auto"/>
        <w:left w:val="none" w:sz="0" w:space="0" w:color="auto"/>
        <w:bottom w:val="none" w:sz="0" w:space="0" w:color="auto"/>
        <w:right w:val="none" w:sz="0" w:space="0" w:color="auto"/>
      </w:divBdr>
    </w:div>
    <w:div w:id="882984786">
      <w:bodyDiv w:val="1"/>
      <w:marLeft w:val="0"/>
      <w:marRight w:val="0"/>
      <w:marTop w:val="0"/>
      <w:marBottom w:val="0"/>
      <w:divBdr>
        <w:top w:val="none" w:sz="0" w:space="0" w:color="auto"/>
        <w:left w:val="none" w:sz="0" w:space="0" w:color="auto"/>
        <w:bottom w:val="none" w:sz="0" w:space="0" w:color="auto"/>
        <w:right w:val="none" w:sz="0" w:space="0" w:color="auto"/>
      </w:divBdr>
      <w:divsChild>
        <w:div w:id="579102722">
          <w:marLeft w:val="0"/>
          <w:marRight w:val="0"/>
          <w:marTop w:val="0"/>
          <w:marBottom w:val="63"/>
          <w:divBdr>
            <w:top w:val="none" w:sz="0" w:space="0" w:color="auto"/>
            <w:left w:val="none" w:sz="0" w:space="0" w:color="auto"/>
            <w:bottom w:val="none" w:sz="0" w:space="0" w:color="auto"/>
            <w:right w:val="none" w:sz="0" w:space="0" w:color="auto"/>
          </w:divBdr>
          <w:divsChild>
            <w:div w:id="194003903">
              <w:marLeft w:val="0"/>
              <w:marRight w:val="0"/>
              <w:marTop w:val="0"/>
              <w:marBottom w:val="0"/>
              <w:divBdr>
                <w:top w:val="none" w:sz="0" w:space="0" w:color="auto"/>
                <w:left w:val="none" w:sz="0" w:space="0" w:color="auto"/>
                <w:bottom w:val="none" w:sz="0" w:space="0" w:color="auto"/>
                <w:right w:val="none" w:sz="0" w:space="0" w:color="auto"/>
              </w:divBdr>
              <w:divsChild>
                <w:div w:id="484051315">
                  <w:marLeft w:val="0"/>
                  <w:marRight w:val="0"/>
                  <w:marTop w:val="0"/>
                  <w:marBottom w:val="0"/>
                  <w:divBdr>
                    <w:top w:val="none" w:sz="0" w:space="0" w:color="auto"/>
                    <w:left w:val="none" w:sz="0" w:space="0" w:color="auto"/>
                    <w:bottom w:val="none" w:sz="0" w:space="0" w:color="auto"/>
                    <w:right w:val="none" w:sz="0" w:space="0" w:color="auto"/>
                  </w:divBdr>
                  <w:divsChild>
                    <w:div w:id="1466123897">
                      <w:marLeft w:val="0"/>
                      <w:marRight w:val="0"/>
                      <w:marTop w:val="0"/>
                      <w:marBottom w:val="0"/>
                      <w:divBdr>
                        <w:top w:val="none" w:sz="0" w:space="0" w:color="auto"/>
                        <w:left w:val="none" w:sz="0" w:space="0" w:color="auto"/>
                        <w:bottom w:val="none" w:sz="0" w:space="0" w:color="auto"/>
                        <w:right w:val="none" w:sz="0" w:space="0" w:color="auto"/>
                      </w:divBdr>
                      <w:divsChild>
                        <w:div w:id="1953631719">
                          <w:marLeft w:val="0"/>
                          <w:marRight w:val="0"/>
                          <w:marTop w:val="0"/>
                          <w:marBottom w:val="0"/>
                          <w:divBdr>
                            <w:top w:val="none" w:sz="0" w:space="0" w:color="auto"/>
                            <w:left w:val="none" w:sz="0" w:space="0" w:color="auto"/>
                            <w:bottom w:val="none" w:sz="0" w:space="0" w:color="auto"/>
                            <w:right w:val="none" w:sz="0" w:space="0" w:color="auto"/>
                          </w:divBdr>
                          <w:divsChild>
                            <w:div w:id="2136437748">
                              <w:marLeft w:val="0"/>
                              <w:marRight w:val="0"/>
                              <w:marTop w:val="0"/>
                              <w:marBottom w:val="0"/>
                              <w:divBdr>
                                <w:top w:val="none" w:sz="0" w:space="0" w:color="auto"/>
                                <w:left w:val="none" w:sz="0" w:space="0" w:color="auto"/>
                                <w:bottom w:val="none" w:sz="0" w:space="0" w:color="auto"/>
                                <w:right w:val="none" w:sz="0" w:space="0" w:color="auto"/>
                              </w:divBdr>
                              <w:divsChild>
                                <w:div w:id="1458798277">
                                  <w:marLeft w:val="0"/>
                                  <w:marRight w:val="0"/>
                                  <w:marTop w:val="0"/>
                                  <w:marBottom w:val="0"/>
                                  <w:divBdr>
                                    <w:top w:val="none" w:sz="0" w:space="0" w:color="auto"/>
                                    <w:left w:val="none" w:sz="0" w:space="0" w:color="auto"/>
                                    <w:bottom w:val="none" w:sz="0" w:space="0" w:color="auto"/>
                                    <w:right w:val="none" w:sz="0" w:space="0" w:color="auto"/>
                                  </w:divBdr>
                                  <w:divsChild>
                                    <w:div w:id="1928078631">
                                      <w:marLeft w:val="0"/>
                                      <w:marRight w:val="0"/>
                                      <w:marTop w:val="0"/>
                                      <w:marBottom w:val="0"/>
                                      <w:divBdr>
                                        <w:top w:val="none" w:sz="0" w:space="0" w:color="auto"/>
                                        <w:left w:val="none" w:sz="0" w:space="0" w:color="auto"/>
                                        <w:bottom w:val="none" w:sz="0" w:space="0" w:color="auto"/>
                                        <w:right w:val="none" w:sz="0" w:space="0" w:color="auto"/>
                                      </w:divBdr>
                                      <w:divsChild>
                                        <w:div w:id="1790199252">
                                          <w:marLeft w:val="0"/>
                                          <w:marRight w:val="0"/>
                                          <w:marTop w:val="0"/>
                                          <w:marBottom w:val="0"/>
                                          <w:divBdr>
                                            <w:top w:val="none" w:sz="0" w:space="0" w:color="auto"/>
                                            <w:left w:val="none" w:sz="0" w:space="0" w:color="auto"/>
                                            <w:bottom w:val="none" w:sz="0" w:space="0" w:color="auto"/>
                                            <w:right w:val="none" w:sz="0" w:space="0" w:color="auto"/>
                                          </w:divBdr>
                                          <w:divsChild>
                                            <w:div w:id="1454906139">
                                              <w:marLeft w:val="0"/>
                                              <w:marRight w:val="0"/>
                                              <w:marTop w:val="0"/>
                                              <w:marBottom w:val="0"/>
                                              <w:divBdr>
                                                <w:top w:val="none" w:sz="0" w:space="0" w:color="auto"/>
                                                <w:left w:val="none" w:sz="0" w:space="0" w:color="auto"/>
                                                <w:bottom w:val="none" w:sz="0" w:space="0" w:color="auto"/>
                                                <w:right w:val="none" w:sz="0" w:space="0" w:color="auto"/>
                                              </w:divBdr>
                                              <w:divsChild>
                                                <w:div w:id="610891763">
                                                  <w:marLeft w:val="0"/>
                                                  <w:marRight w:val="0"/>
                                                  <w:marTop w:val="0"/>
                                                  <w:marBottom w:val="0"/>
                                                  <w:divBdr>
                                                    <w:top w:val="none" w:sz="0" w:space="0" w:color="auto"/>
                                                    <w:left w:val="none" w:sz="0" w:space="0" w:color="auto"/>
                                                    <w:bottom w:val="none" w:sz="0" w:space="0" w:color="auto"/>
                                                    <w:right w:val="none" w:sz="0" w:space="0" w:color="auto"/>
                                                  </w:divBdr>
                                                  <w:divsChild>
                                                    <w:div w:id="897205177">
                                                      <w:marLeft w:val="0"/>
                                                      <w:marRight w:val="0"/>
                                                      <w:marTop w:val="0"/>
                                                      <w:marBottom w:val="0"/>
                                                      <w:divBdr>
                                                        <w:top w:val="none" w:sz="0" w:space="0" w:color="auto"/>
                                                        <w:left w:val="none" w:sz="0" w:space="0" w:color="auto"/>
                                                        <w:bottom w:val="none" w:sz="0" w:space="0" w:color="auto"/>
                                                        <w:right w:val="none" w:sz="0" w:space="0" w:color="auto"/>
                                                      </w:divBdr>
                                                      <w:divsChild>
                                                        <w:div w:id="479734171">
                                                          <w:marLeft w:val="0"/>
                                                          <w:marRight w:val="0"/>
                                                          <w:marTop w:val="0"/>
                                                          <w:marBottom w:val="0"/>
                                                          <w:divBdr>
                                                            <w:top w:val="none" w:sz="0" w:space="0" w:color="auto"/>
                                                            <w:left w:val="none" w:sz="0" w:space="0" w:color="auto"/>
                                                            <w:bottom w:val="none" w:sz="0" w:space="0" w:color="auto"/>
                                                            <w:right w:val="none" w:sz="0" w:space="0" w:color="auto"/>
                                                          </w:divBdr>
                                                          <w:divsChild>
                                                            <w:div w:id="1834642253">
                                                              <w:marLeft w:val="0"/>
                                                              <w:marRight w:val="0"/>
                                                              <w:marTop w:val="0"/>
                                                              <w:marBottom w:val="0"/>
                                                              <w:divBdr>
                                                                <w:top w:val="none" w:sz="0" w:space="0" w:color="auto"/>
                                                                <w:left w:val="none" w:sz="0" w:space="0" w:color="auto"/>
                                                                <w:bottom w:val="none" w:sz="0" w:space="0" w:color="auto"/>
                                                                <w:right w:val="none" w:sz="0" w:space="0" w:color="auto"/>
                                                              </w:divBdr>
                                                              <w:divsChild>
                                                                <w:div w:id="7138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5091">
                                                      <w:marLeft w:val="0"/>
                                                      <w:marRight w:val="0"/>
                                                      <w:marTop w:val="0"/>
                                                      <w:marBottom w:val="0"/>
                                                      <w:divBdr>
                                                        <w:top w:val="none" w:sz="0" w:space="0" w:color="auto"/>
                                                        <w:left w:val="none" w:sz="0" w:space="0" w:color="auto"/>
                                                        <w:bottom w:val="none" w:sz="0" w:space="0" w:color="auto"/>
                                                        <w:right w:val="none" w:sz="0" w:space="0" w:color="auto"/>
                                                      </w:divBdr>
                                                      <w:divsChild>
                                                        <w:div w:id="796533654">
                                                          <w:marLeft w:val="0"/>
                                                          <w:marRight w:val="0"/>
                                                          <w:marTop w:val="0"/>
                                                          <w:marBottom w:val="0"/>
                                                          <w:divBdr>
                                                            <w:top w:val="none" w:sz="0" w:space="0" w:color="auto"/>
                                                            <w:left w:val="none" w:sz="0" w:space="0" w:color="auto"/>
                                                            <w:bottom w:val="none" w:sz="0" w:space="0" w:color="auto"/>
                                                            <w:right w:val="none" w:sz="0" w:space="0" w:color="auto"/>
                                                          </w:divBdr>
                                                          <w:divsChild>
                                                            <w:div w:id="1844776118">
                                                              <w:marLeft w:val="0"/>
                                                              <w:marRight w:val="0"/>
                                                              <w:marTop w:val="0"/>
                                                              <w:marBottom w:val="0"/>
                                                              <w:divBdr>
                                                                <w:top w:val="none" w:sz="0" w:space="0" w:color="auto"/>
                                                                <w:left w:val="none" w:sz="0" w:space="0" w:color="auto"/>
                                                                <w:bottom w:val="none" w:sz="0" w:space="0" w:color="auto"/>
                                                                <w:right w:val="none" w:sz="0" w:space="0" w:color="auto"/>
                                                              </w:divBdr>
                                                              <w:divsChild>
                                                                <w:div w:id="1986470483">
                                                                  <w:marLeft w:val="0"/>
                                                                  <w:marRight w:val="0"/>
                                                                  <w:marTop w:val="0"/>
                                                                  <w:marBottom w:val="0"/>
                                                                  <w:divBdr>
                                                                    <w:top w:val="none" w:sz="0" w:space="0" w:color="auto"/>
                                                                    <w:left w:val="none" w:sz="0" w:space="0" w:color="auto"/>
                                                                    <w:bottom w:val="none" w:sz="0" w:space="0" w:color="auto"/>
                                                                    <w:right w:val="none" w:sz="0" w:space="0" w:color="auto"/>
                                                                  </w:divBdr>
                                                                  <w:divsChild>
                                                                    <w:div w:id="1739671920">
                                                                      <w:marLeft w:val="0"/>
                                                                      <w:marRight w:val="0"/>
                                                                      <w:marTop w:val="0"/>
                                                                      <w:marBottom w:val="0"/>
                                                                      <w:divBdr>
                                                                        <w:top w:val="none" w:sz="0" w:space="0" w:color="auto"/>
                                                                        <w:left w:val="none" w:sz="0" w:space="0" w:color="auto"/>
                                                                        <w:bottom w:val="none" w:sz="0" w:space="0" w:color="auto"/>
                                                                        <w:right w:val="none" w:sz="0" w:space="0" w:color="auto"/>
                                                                      </w:divBdr>
                                                                      <w:divsChild>
                                                                        <w:div w:id="2136287905">
                                                                          <w:marLeft w:val="0"/>
                                                                          <w:marRight w:val="0"/>
                                                                          <w:marTop w:val="0"/>
                                                                          <w:marBottom w:val="0"/>
                                                                          <w:divBdr>
                                                                            <w:top w:val="none" w:sz="0" w:space="0" w:color="auto"/>
                                                                            <w:left w:val="none" w:sz="0" w:space="0" w:color="auto"/>
                                                                            <w:bottom w:val="none" w:sz="0" w:space="0" w:color="auto"/>
                                                                            <w:right w:val="none" w:sz="0" w:space="0" w:color="auto"/>
                                                                          </w:divBdr>
                                                                          <w:divsChild>
                                                                            <w:div w:id="1976064863">
                                                                              <w:marLeft w:val="0"/>
                                                                              <w:marRight w:val="0"/>
                                                                              <w:marTop w:val="0"/>
                                                                              <w:marBottom w:val="0"/>
                                                                              <w:divBdr>
                                                                                <w:top w:val="none" w:sz="0" w:space="0" w:color="auto"/>
                                                                                <w:left w:val="none" w:sz="0" w:space="0" w:color="auto"/>
                                                                                <w:bottom w:val="none" w:sz="0" w:space="0" w:color="auto"/>
                                                                                <w:right w:val="none" w:sz="0" w:space="0" w:color="auto"/>
                                                                              </w:divBdr>
                                                                              <w:divsChild>
                                                                                <w:div w:id="2090496972">
                                                                                  <w:marLeft w:val="0"/>
                                                                                  <w:marRight w:val="0"/>
                                                                                  <w:marTop w:val="0"/>
                                                                                  <w:marBottom w:val="0"/>
                                                                                  <w:divBdr>
                                                                                    <w:top w:val="none" w:sz="0" w:space="0" w:color="auto"/>
                                                                                    <w:left w:val="none" w:sz="0" w:space="0" w:color="auto"/>
                                                                                    <w:bottom w:val="none" w:sz="0" w:space="0" w:color="auto"/>
                                                                                    <w:right w:val="none" w:sz="0" w:space="0" w:color="auto"/>
                                                                                  </w:divBdr>
                                                                                  <w:divsChild>
                                                                                    <w:div w:id="2144956524">
                                                                                      <w:marLeft w:val="0"/>
                                                                                      <w:marRight w:val="0"/>
                                                                                      <w:marTop w:val="0"/>
                                                                                      <w:marBottom w:val="0"/>
                                                                                      <w:divBdr>
                                                                                        <w:top w:val="none" w:sz="0" w:space="0" w:color="auto"/>
                                                                                        <w:left w:val="none" w:sz="0" w:space="0" w:color="auto"/>
                                                                                        <w:bottom w:val="none" w:sz="0" w:space="0" w:color="auto"/>
                                                                                        <w:right w:val="none" w:sz="0" w:space="0" w:color="auto"/>
                                                                                      </w:divBdr>
                                                                                      <w:divsChild>
                                                                                        <w:div w:id="2014450746">
                                                                                          <w:marLeft w:val="0"/>
                                                                                          <w:marRight w:val="0"/>
                                                                                          <w:marTop w:val="0"/>
                                                                                          <w:marBottom w:val="0"/>
                                                                                          <w:divBdr>
                                                                                            <w:top w:val="none" w:sz="0" w:space="0" w:color="auto"/>
                                                                                            <w:left w:val="none" w:sz="0" w:space="0" w:color="auto"/>
                                                                                            <w:bottom w:val="none" w:sz="0" w:space="0" w:color="auto"/>
                                                                                            <w:right w:val="none" w:sz="0" w:space="0" w:color="auto"/>
                                                                                          </w:divBdr>
                                                                                          <w:divsChild>
                                                                                            <w:div w:id="833301867">
                                                                                              <w:marLeft w:val="0"/>
                                                                                              <w:marRight w:val="0"/>
                                                                                              <w:marTop w:val="0"/>
                                                                                              <w:marBottom w:val="0"/>
                                                                                              <w:divBdr>
                                                                                                <w:top w:val="none" w:sz="0" w:space="0" w:color="auto"/>
                                                                                                <w:left w:val="none" w:sz="0" w:space="0" w:color="auto"/>
                                                                                                <w:bottom w:val="none" w:sz="0" w:space="0" w:color="auto"/>
                                                                                                <w:right w:val="none" w:sz="0" w:space="0" w:color="auto"/>
                                                                                              </w:divBdr>
                                                                                              <w:divsChild>
                                                                                                <w:div w:id="1411924537">
                                                                                                  <w:marLeft w:val="0"/>
                                                                                                  <w:marRight w:val="0"/>
                                                                                                  <w:marTop w:val="0"/>
                                                                                                  <w:marBottom w:val="0"/>
                                                                                                  <w:divBdr>
                                                                                                    <w:top w:val="none" w:sz="0" w:space="0" w:color="auto"/>
                                                                                                    <w:left w:val="none" w:sz="0" w:space="0" w:color="auto"/>
                                                                                                    <w:bottom w:val="none" w:sz="0" w:space="0" w:color="auto"/>
                                                                                                    <w:right w:val="none" w:sz="0" w:space="0" w:color="auto"/>
                                                                                                  </w:divBdr>
                                                                                                  <w:divsChild>
                                                                                                    <w:div w:id="1982955124">
                                                                                                      <w:marLeft w:val="0"/>
                                                                                                      <w:marRight w:val="0"/>
                                                                                                      <w:marTop w:val="0"/>
                                                                                                      <w:marBottom w:val="0"/>
                                                                                                      <w:divBdr>
                                                                                                        <w:top w:val="none" w:sz="0" w:space="0" w:color="auto"/>
                                                                                                        <w:left w:val="none" w:sz="0" w:space="0" w:color="auto"/>
                                                                                                        <w:bottom w:val="none" w:sz="0" w:space="0" w:color="auto"/>
                                                                                                        <w:right w:val="none" w:sz="0" w:space="0" w:color="auto"/>
                                                                                                      </w:divBdr>
                                                                                                      <w:divsChild>
                                                                                                        <w:div w:id="16154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8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5374">
      <w:bodyDiv w:val="1"/>
      <w:marLeft w:val="1582"/>
      <w:marRight w:val="1582"/>
      <w:marTop w:val="316"/>
      <w:marBottom w:val="79"/>
      <w:divBdr>
        <w:top w:val="none" w:sz="0" w:space="0" w:color="auto"/>
        <w:left w:val="none" w:sz="0" w:space="0" w:color="auto"/>
        <w:bottom w:val="none" w:sz="0" w:space="0" w:color="auto"/>
        <w:right w:val="none" w:sz="0" w:space="0" w:color="auto"/>
      </w:divBdr>
      <w:divsChild>
        <w:div w:id="1054232636">
          <w:marLeft w:val="0"/>
          <w:marRight w:val="0"/>
          <w:marTop w:val="0"/>
          <w:marBottom w:val="0"/>
          <w:divBdr>
            <w:top w:val="none" w:sz="0" w:space="0" w:color="auto"/>
            <w:left w:val="single" w:sz="6" w:space="8" w:color="999999"/>
            <w:bottom w:val="single" w:sz="6" w:space="8" w:color="999999"/>
            <w:right w:val="single" w:sz="6" w:space="8" w:color="999999"/>
          </w:divBdr>
        </w:div>
      </w:divsChild>
    </w:div>
    <w:div w:id="1153567964">
      <w:bodyDiv w:val="1"/>
      <w:marLeft w:val="0"/>
      <w:marRight w:val="0"/>
      <w:marTop w:val="0"/>
      <w:marBottom w:val="0"/>
      <w:divBdr>
        <w:top w:val="none" w:sz="0" w:space="0" w:color="auto"/>
        <w:left w:val="none" w:sz="0" w:space="0" w:color="auto"/>
        <w:bottom w:val="none" w:sz="0" w:space="0" w:color="auto"/>
        <w:right w:val="none" w:sz="0" w:space="0" w:color="auto"/>
      </w:divBdr>
    </w:div>
    <w:div w:id="1159537165">
      <w:bodyDiv w:val="1"/>
      <w:marLeft w:val="0"/>
      <w:marRight w:val="0"/>
      <w:marTop w:val="0"/>
      <w:marBottom w:val="0"/>
      <w:divBdr>
        <w:top w:val="none" w:sz="0" w:space="0" w:color="auto"/>
        <w:left w:val="none" w:sz="0" w:space="0" w:color="auto"/>
        <w:bottom w:val="none" w:sz="0" w:space="0" w:color="auto"/>
        <w:right w:val="none" w:sz="0" w:space="0" w:color="auto"/>
      </w:divBdr>
    </w:div>
    <w:div w:id="1162816899">
      <w:bodyDiv w:val="1"/>
      <w:marLeft w:val="0"/>
      <w:marRight w:val="0"/>
      <w:marTop w:val="0"/>
      <w:marBottom w:val="0"/>
      <w:divBdr>
        <w:top w:val="none" w:sz="0" w:space="0" w:color="auto"/>
        <w:left w:val="none" w:sz="0" w:space="0" w:color="auto"/>
        <w:bottom w:val="none" w:sz="0" w:space="0" w:color="auto"/>
        <w:right w:val="none" w:sz="0" w:space="0" w:color="auto"/>
      </w:divBdr>
    </w:div>
    <w:div w:id="1192382218">
      <w:bodyDiv w:val="1"/>
      <w:marLeft w:val="0"/>
      <w:marRight w:val="0"/>
      <w:marTop w:val="0"/>
      <w:marBottom w:val="0"/>
      <w:divBdr>
        <w:top w:val="none" w:sz="0" w:space="0" w:color="auto"/>
        <w:left w:val="none" w:sz="0" w:space="0" w:color="auto"/>
        <w:bottom w:val="none" w:sz="0" w:space="0" w:color="auto"/>
        <w:right w:val="none" w:sz="0" w:space="0" w:color="auto"/>
      </w:divBdr>
      <w:divsChild>
        <w:div w:id="959921905">
          <w:marLeft w:val="0"/>
          <w:marRight w:val="0"/>
          <w:marTop w:val="0"/>
          <w:marBottom w:val="0"/>
          <w:divBdr>
            <w:top w:val="none" w:sz="0" w:space="0" w:color="auto"/>
            <w:left w:val="none" w:sz="0" w:space="0" w:color="auto"/>
            <w:bottom w:val="none" w:sz="0" w:space="0" w:color="auto"/>
            <w:right w:val="none" w:sz="0" w:space="0" w:color="auto"/>
          </w:divBdr>
          <w:divsChild>
            <w:div w:id="1552886184">
              <w:marLeft w:val="-7785"/>
              <w:marRight w:val="-7785"/>
              <w:marTop w:val="0"/>
              <w:marBottom w:val="0"/>
              <w:divBdr>
                <w:top w:val="none" w:sz="0" w:space="0" w:color="auto"/>
                <w:left w:val="none" w:sz="0" w:space="0" w:color="auto"/>
                <w:bottom w:val="none" w:sz="0" w:space="0" w:color="auto"/>
                <w:right w:val="none" w:sz="0" w:space="0" w:color="auto"/>
              </w:divBdr>
              <w:divsChild>
                <w:div w:id="874730774">
                  <w:marLeft w:val="0"/>
                  <w:marRight w:val="0"/>
                  <w:marTop w:val="0"/>
                  <w:marBottom w:val="0"/>
                  <w:divBdr>
                    <w:top w:val="none" w:sz="0" w:space="0" w:color="auto"/>
                    <w:left w:val="none" w:sz="0" w:space="0" w:color="auto"/>
                    <w:bottom w:val="none" w:sz="0" w:space="0" w:color="auto"/>
                    <w:right w:val="none" w:sz="0" w:space="0" w:color="auto"/>
                  </w:divBdr>
                  <w:divsChild>
                    <w:div w:id="570429329">
                      <w:marLeft w:val="0"/>
                      <w:marRight w:val="0"/>
                      <w:marTop w:val="0"/>
                      <w:marBottom w:val="0"/>
                      <w:divBdr>
                        <w:top w:val="none" w:sz="0" w:space="0" w:color="auto"/>
                        <w:left w:val="none" w:sz="0" w:space="0" w:color="auto"/>
                        <w:bottom w:val="none" w:sz="0" w:space="0" w:color="auto"/>
                        <w:right w:val="none" w:sz="0" w:space="0" w:color="auto"/>
                      </w:divBdr>
                      <w:divsChild>
                        <w:div w:id="1977180978">
                          <w:marLeft w:val="-3054"/>
                          <w:marRight w:val="0"/>
                          <w:marTop w:val="0"/>
                          <w:marBottom w:val="0"/>
                          <w:divBdr>
                            <w:top w:val="none" w:sz="0" w:space="0" w:color="auto"/>
                            <w:left w:val="none" w:sz="0" w:space="0" w:color="auto"/>
                            <w:bottom w:val="none" w:sz="0" w:space="0" w:color="auto"/>
                            <w:right w:val="none" w:sz="0" w:space="0" w:color="auto"/>
                          </w:divBdr>
                          <w:divsChild>
                            <w:div w:id="1261523763">
                              <w:marLeft w:val="3054"/>
                              <w:marRight w:val="0"/>
                              <w:marTop w:val="0"/>
                              <w:marBottom w:val="0"/>
                              <w:divBdr>
                                <w:top w:val="none" w:sz="0" w:space="0" w:color="auto"/>
                                <w:left w:val="none" w:sz="0" w:space="0" w:color="auto"/>
                                <w:bottom w:val="none" w:sz="0" w:space="0" w:color="auto"/>
                                <w:right w:val="none" w:sz="0" w:space="0" w:color="auto"/>
                              </w:divBdr>
                              <w:divsChild>
                                <w:div w:id="1617643277">
                                  <w:marLeft w:val="0"/>
                                  <w:marRight w:val="0"/>
                                  <w:marTop w:val="190"/>
                                  <w:marBottom w:val="96"/>
                                  <w:divBdr>
                                    <w:top w:val="none" w:sz="0" w:space="0" w:color="auto"/>
                                    <w:left w:val="none" w:sz="0" w:space="0" w:color="auto"/>
                                    <w:bottom w:val="none" w:sz="0" w:space="0" w:color="auto"/>
                                    <w:right w:val="none" w:sz="0" w:space="0" w:color="auto"/>
                                  </w:divBdr>
                                  <w:divsChild>
                                    <w:div w:id="1497846048">
                                      <w:marLeft w:val="0"/>
                                      <w:marRight w:val="0"/>
                                      <w:marTop w:val="0"/>
                                      <w:marBottom w:val="336"/>
                                      <w:divBdr>
                                        <w:top w:val="none" w:sz="0" w:space="0" w:color="auto"/>
                                        <w:left w:val="none" w:sz="0" w:space="0" w:color="auto"/>
                                        <w:bottom w:val="none" w:sz="0" w:space="0" w:color="auto"/>
                                        <w:right w:val="none" w:sz="0" w:space="0" w:color="auto"/>
                                      </w:divBdr>
                                      <w:divsChild>
                                        <w:div w:id="1033115462">
                                          <w:marLeft w:val="190"/>
                                          <w:marRight w:val="174"/>
                                          <w:marTop w:val="0"/>
                                          <w:marBottom w:val="336"/>
                                          <w:divBdr>
                                            <w:top w:val="none" w:sz="0" w:space="0" w:color="auto"/>
                                            <w:left w:val="none" w:sz="0" w:space="0" w:color="auto"/>
                                            <w:bottom w:val="none" w:sz="0" w:space="0" w:color="auto"/>
                                            <w:right w:val="none" w:sz="0" w:space="0" w:color="auto"/>
                                          </w:divBdr>
                                          <w:divsChild>
                                            <w:div w:id="1750421818">
                                              <w:marLeft w:val="0"/>
                                              <w:marRight w:val="0"/>
                                              <w:marTop w:val="0"/>
                                              <w:marBottom w:val="240"/>
                                              <w:divBdr>
                                                <w:top w:val="none" w:sz="0" w:space="0" w:color="auto"/>
                                                <w:left w:val="none" w:sz="0" w:space="0" w:color="auto"/>
                                                <w:bottom w:val="none" w:sz="0" w:space="0" w:color="auto"/>
                                                <w:right w:val="none" w:sz="0" w:space="0" w:color="auto"/>
                                              </w:divBdr>
                                              <w:divsChild>
                                                <w:div w:id="1575894557">
                                                  <w:marLeft w:val="0"/>
                                                  <w:marRight w:val="0"/>
                                                  <w:marTop w:val="0"/>
                                                  <w:marBottom w:val="0"/>
                                                  <w:divBdr>
                                                    <w:top w:val="none" w:sz="0" w:space="0" w:color="auto"/>
                                                    <w:left w:val="none" w:sz="0" w:space="0" w:color="auto"/>
                                                    <w:bottom w:val="none" w:sz="0" w:space="0" w:color="auto"/>
                                                    <w:right w:val="none" w:sz="0" w:space="0" w:color="auto"/>
                                                  </w:divBdr>
                                                  <w:divsChild>
                                                    <w:div w:id="1784424460">
                                                      <w:marLeft w:val="-2279"/>
                                                      <w:marRight w:val="0"/>
                                                      <w:marTop w:val="0"/>
                                                      <w:marBottom w:val="0"/>
                                                      <w:divBdr>
                                                        <w:top w:val="none" w:sz="0" w:space="0" w:color="auto"/>
                                                        <w:left w:val="none" w:sz="0" w:space="0" w:color="auto"/>
                                                        <w:bottom w:val="none" w:sz="0" w:space="0" w:color="auto"/>
                                                        <w:right w:val="none" w:sz="0" w:space="0" w:color="auto"/>
                                                      </w:divBdr>
                                                      <w:divsChild>
                                                        <w:div w:id="1852988979">
                                                          <w:marLeft w:val="2658"/>
                                                          <w:marRight w:val="0"/>
                                                          <w:marTop w:val="0"/>
                                                          <w:marBottom w:val="0"/>
                                                          <w:divBdr>
                                                            <w:top w:val="none" w:sz="0" w:space="0" w:color="auto"/>
                                                            <w:left w:val="none" w:sz="0" w:space="0" w:color="auto"/>
                                                            <w:bottom w:val="none" w:sz="0" w:space="0" w:color="auto"/>
                                                            <w:right w:val="none" w:sz="0" w:space="0" w:color="auto"/>
                                                          </w:divBdr>
                                                          <w:divsChild>
                                                            <w:div w:id="192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3459445">
      <w:bodyDiv w:val="1"/>
      <w:marLeft w:val="0"/>
      <w:marRight w:val="0"/>
      <w:marTop w:val="0"/>
      <w:marBottom w:val="0"/>
      <w:divBdr>
        <w:top w:val="none" w:sz="0" w:space="0" w:color="auto"/>
        <w:left w:val="none" w:sz="0" w:space="0" w:color="auto"/>
        <w:bottom w:val="none" w:sz="0" w:space="0" w:color="auto"/>
        <w:right w:val="none" w:sz="0" w:space="0" w:color="auto"/>
      </w:divBdr>
    </w:div>
    <w:div w:id="1307853271">
      <w:bodyDiv w:val="1"/>
      <w:marLeft w:val="0"/>
      <w:marRight w:val="0"/>
      <w:marTop w:val="0"/>
      <w:marBottom w:val="0"/>
      <w:divBdr>
        <w:top w:val="none" w:sz="0" w:space="0" w:color="auto"/>
        <w:left w:val="none" w:sz="0" w:space="0" w:color="auto"/>
        <w:bottom w:val="none" w:sz="0" w:space="0" w:color="auto"/>
        <w:right w:val="none" w:sz="0" w:space="0" w:color="auto"/>
      </w:divBdr>
    </w:div>
    <w:div w:id="1331517986">
      <w:bodyDiv w:val="1"/>
      <w:marLeft w:val="0"/>
      <w:marRight w:val="0"/>
      <w:marTop w:val="0"/>
      <w:marBottom w:val="0"/>
      <w:divBdr>
        <w:top w:val="none" w:sz="0" w:space="0" w:color="auto"/>
        <w:left w:val="none" w:sz="0" w:space="0" w:color="auto"/>
        <w:bottom w:val="none" w:sz="0" w:space="0" w:color="auto"/>
        <w:right w:val="none" w:sz="0" w:space="0" w:color="auto"/>
      </w:divBdr>
    </w:div>
    <w:div w:id="1389180764">
      <w:bodyDiv w:val="1"/>
      <w:marLeft w:val="0"/>
      <w:marRight w:val="0"/>
      <w:marTop w:val="0"/>
      <w:marBottom w:val="0"/>
      <w:divBdr>
        <w:top w:val="none" w:sz="0" w:space="0" w:color="auto"/>
        <w:left w:val="none" w:sz="0" w:space="0" w:color="auto"/>
        <w:bottom w:val="none" w:sz="0" w:space="0" w:color="auto"/>
        <w:right w:val="none" w:sz="0" w:space="0" w:color="auto"/>
      </w:divBdr>
    </w:div>
    <w:div w:id="1462259727">
      <w:bodyDiv w:val="1"/>
      <w:marLeft w:val="0"/>
      <w:marRight w:val="0"/>
      <w:marTop w:val="0"/>
      <w:marBottom w:val="0"/>
      <w:divBdr>
        <w:top w:val="none" w:sz="0" w:space="0" w:color="auto"/>
        <w:left w:val="none" w:sz="0" w:space="0" w:color="auto"/>
        <w:bottom w:val="none" w:sz="0" w:space="0" w:color="auto"/>
        <w:right w:val="none" w:sz="0" w:space="0" w:color="auto"/>
      </w:divBdr>
    </w:div>
    <w:div w:id="1509979585">
      <w:bodyDiv w:val="1"/>
      <w:marLeft w:val="1582"/>
      <w:marRight w:val="1582"/>
      <w:marTop w:val="316"/>
      <w:marBottom w:val="79"/>
      <w:divBdr>
        <w:top w:val="none" w:sz="0" w:space="0" w:color="auto"/>
        <w:left w:val="none" w:sz="0" w:space="0" w:color="auto"/>
        <w:bottom w:val="none" w:sz="0" w:space="0" w:color="auto"/>
        <w:right w:val="none" w:sz="0" w:space="0" w:color="auto"/>
      </w:divBdr>
      <w:divsChild>
        <w:div w:id="242184489">
          <w:marLeft w:val="0"/>
          <w:marRight w:val="0"/>
          <w:marTop w:val="0"/>
          <w:marBottom w:val="0"/>
          <w:divBdr>
            <w:top w:val="none" w:sz="0" w:space="0" w:color="auto"/>
            <w:left w:val="single" w:sz="6" w:space="8" w:color="999999"/>
            <w:bottom w:val="single" w:sz="6" w:space="8" w:color="999999"/>
            <w:right w:val="single" w:sz="6" w:space="8" w:color="999999"/>
          </w:divBdr>
        </w:div>
      </w:divsChild>
    </w:div>
    <w:div w:id="1702900846">
      <w:bodyDiv w:val="1"/>
      <w:marLeft w:val="0"/>
      <w:marRight w:val="0"/>
      <w:marTop w:val="0"/>
      <w:marBottom w:val="0"/>
      <w:divBdr>
        <w:top w:val="none" w:sz="0" w:space="0" w:color="auto"/>
        <w:left w:val="none" w:sz="0" w:space="0" w:color="auto"/>
        <w:bottom w:val="none" w:sz="0" w:space="0" w:color="auto"/>
        <w:right w:val="none" w:sz="0" w:space="0" w:color="auto"/>
      </w:divBdr>
    </w:div>
    <w:div w:id="1712194417">
      <w:bodyDiv w:val="1"/>
      <w:marLeft w:val="0"/>
      <w:marRight w:val="0"/>
      <w:marTop w:val="0"/>
      <w:marBottom w:val="0"/>
      <w:divBdr>
        <w:top w:val="none" w:sz="0" w:space="0" w:color="auto"/>
        <w:left w:val="none" w:sz="0" w:space="0" w:color="auto"/>
        <w:bottom w:val="none" w:sz="0" w:space="0" w:color="auto"/>
        <w:right w:val="none" w:sz="0" w:space="0" w:color="auto"/>
      </w:divBdr>
    </w:div>
    <w:div w:id="1761295213">
      <w:bodyDiv w:val="1"/>
      <w:marLeft w:val="0"/>
      <w:marRight w:val="0"/>
      <w:marTop w:val="0"/>
      <w:marBottom w:val="0"/>
      <w:divBdr>
        <w:top w:val="none" w:sz="0" w:space="0" w:color="auto"/>
        <w:left w:val="none" w:sz="0" w:space="0" w:color="auto"/>
        <w:bottom w:val="none" w:sz="0" w:space="0" w:color="auto"/>
        <w:right w:val="none" w:sz="0" w:space="0" w:color="auto"/>
      </w:divBdr>
    </w:div>
    <w:div w:id="1796289283">
      <w:bodyDiv w:val="1"/>
      <w:marLeft w:val="0"/>
      <w:marRight w:val="0"/>
      <w:marTop w:val="0"/>
      <w:marBottom w:val="0"/>
      <w:divBdr>
        <w:top w:val="none" w:sz="0" w:space="0" w:color="auto"/>
        <w:left w:val="none" w:sz="0" w:space="0" w:color="auto"/>
        <w:bottom w:val="none" w:sz="0" w:space="0" w:color="auto"/>
        <w:right w:val="none" w:sz="0" w:space="0" w:color="auto"/>
      </w:divBdr>
    </w:div>
    <w:div w:id="1818648937">
      <w:bodyDiv w:val="1"/>
      <w:marLeft w:val="0"/>
      <w:marRight w:val="0"/>
      <w:marTop w:val="0"/>
      <w:marBottom w:val="0"/>
      <w:divBdr>
        <w:top w:val="none" w:sz="0" w:space="0" w:color="auto"/>
        <w:left w:val="none" w:sz="0" w:space="0" w:color="auto"/>
        <w:bottom w:val="none" w:sz="0" w:space="0" w:color="auto"/>
        <w:right w:val="none" w:sz="0" w:space="0" w:color="auto"/>
      </w:divBdr>
    </w:div>
    <w:div w:id="1830752254">
      <w:bodyDiv w:val="1"/>
      <w:marLeft w:val="0"/>
      <w:marRight w:val="0"/>
      <w:marTop w:val="0"/>
      <w:marBottom w:val="0"/>
      <w:divBdr>
        <w:top w:val="none" w:sz="0" w:space="0" w:color="auto"/>
        <w:left w:val="none" w:sz="0" w:space="0" w:color="auto"/>
        <w:bottom w:val="none" w:sz="0" w:space="0" w:color="auto"/>
        <w:right w:val="none" w:sz="0" w:space="0" w:color="auto"/>
      </w:divBdr>
    </w:div>
    <w:div w:id="1857116723">
      <w:bodyDiv w:val="1"/>
      <w:marLeft w:val="0"/>
      <w:marRight w:val="0"/>
      <w:marTop w:val="0"/>
      <w:marBottom w:val="0"/>
      <w:divBdr>
        <w:top w:val="none" w:sz="0" w:space="0" w:color="auto"/>
        <w:left w:val="none" w:sz="0" w:space="0" w:color="auto"/>
        <w:bottom w:val="none" w:sz="0" w:space="0" w:color="auto"/>
        <w:right w:val="none" w:sz="0" w:space="0" w:color="auto"/>
      </w:divBdr>
    </w:div>
    <w:div w:id="1882477329">
      <w:bodyDiv w:val="1"/>
      <w:marLeft w:val="0"/>
      <w:marRight w:val="0"/>
      <w:marTop w:val="0"/>
      <w:marBottom w:val="0"/>
      <w:divBdr>
        <w:top w:val="none" w:sz="0" w:space="0" w:color="auto"/>
        <w:left w:val="none" w:sz="0" w:space="0" w:color="auto"/>
        <w:bottom w:val="none" w:sz="0" w:space="0" w:color="auto"/>
        <w:right w:val="none" w:sz="0" w:space="0" w:color="auto"/>
      </w:divBdr>
    </w:div>
    <w:div w:id="1900170963">
      <w:bodyDiv w:val="1"/>
      <w:marLeft w:val="0"/>
      <w:marRight w:val="0"/>
      <w:marTop w:val="0"/>
      <w:marBottom w:val="0"/>
      <w:divBdr>
        <w:top w:val="none" w:sz="0" w:space="0" w:color="auto"/>
        <w:left w:val="none" w:sz="0" w:space="0" w:color="auto"/>
        <w:bottom w:val="none" w:sz="0" w:space="0" w:color="auto"/>
        <w:right w:val="none" w:sz="0" w:space="0" w:color="auto"/>
      </w:divBdr>
    </w:div>
    <w:div w:id="1957177347">
      <w:bodyDiv w:val="1"/>
      <w:marLeft w:val="0"/>
      <w:marRight w:val="0"/>
      <w:marTop w:val="0"/>
      <w:marBottom w:val="0"/>
      <w:divBdr>
        <w:top w:val="none" w:sz="0" w:space="0" w:color="auto"/>
        <w:left w:val="none" w:sz="0" w:space="0" w:color="auto"/>
        <w:bottom w:val="none" w:sz="0" w:space="0" w:color="auto"/>
        <w:right w:val="none" w:sz="0" w:space="0" w:color="auto"/>
      </w:divBdr>
    </w:div>
    <w:div w:id="1967197220">
      <w:bodyDiv w:val="1"/>
      <w:marLeft w:val="0"/>
      <w:marRight w:val="0"/>
      <w:marTop w:val="0"/>
      <w:marBottom w:val="0"/>
      <w:divBdr>
        <w:top w:val="none" w:sz="0" w:space="0" w:color="auto"/>
        <w:left w:val="none" w:sz="0" w:space="0" w:color="auto"/>
        <w:bottom w:val="none" w:sz="0" w:space="0" w:color="auto"/>
        <w:right w:val="none" w:sz="0" w:space="0" w:color="auto"/>
      </w:divBdr>
    </w:div>
    <w:div w:id="2001880518">
      <w:bodyDiv w:val="1"/>
      <w:marLeft w:val="0"/>
      <w:marRight w:val="0"/>
      <w:marTop w:val="0"/>
      <w:marBottom w:val="0"/>
      <w:divBdr>
        <w:top w:val="none" w:sz="0" w:space="0" w:color="auto"/>
        <w:left w:val="none" w:sz="0" w:space="0" w:color="auto"/>
        <w:bottom w:val="none" w:sz="0" w:space="0" w:color="auto"/>
        <w:right w:val="none" w:sz="0" w:space="0" w:color="auto"/>
      </w:divBdr>
    </w:div>
    <w:div w:id="2026053758">
      <w:bodyDiv w:val="1"/>
      <w:marLeft w:val="0"/>
      <w:marRight w:val="0"/>
      <w:marTop w:val="0"/>
      <w:marBottom w:val="0"/>
      <w:divBdr>
        <w:top w:val="none" w:sz="0" w:space="0" w:color="auto"/>
        <w:left w:val="none" w:sz="0" w:space="0" w:color="auto"/>
        <w:bottom w:val="none" w:sz="0" w:space="0" w:color="auto"/>
        <w:right w:val="none" w:sz="0" w:space="0" w:color="auto"/>
      </w:divBdr>
    </w:div>
    <w:div w:id="2054766594">
      <w:bodyDiv w:val="1"/>
      <w:marLeft w:val="0"/>
      <w:marRight w:val="0"/>
      <w:marTop w:val="0"/>
      <w:marBottom w:val="0"/>
      <w:divBdr>
        <w:top w:val="none" w:sz="0" w:space="0" w:color="auto"/>
        <w:left w:val="none" w:sz="0" w:space="0" w:color="auto"/>
        <w:bottom w:val="none" w:sz="0" w:space="0" w:color="auto"/>
        <w:right w:val="none" w:sz="0" w:space="0" w:color="auto"/>
      </w:divBdr>
    </w:div>
    <w:div w:id="21424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owbottom@bh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108/AAAJ-06-2021-5330" TargetMode="External"/><Relationship Id="rId4" Type="http://schemas.openxmlformats.org/officeDocument/2006/relationships/settings" Target="settings.xml"/><Relationship Id="rId9" Type="http://schemas.openxmlformats.org/officeDocument/2006/relationships/hyperlink" Target="https://doi.org/10.1108/AAAJ-06-2021-53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df\css\staff\home\Rowbottn\appdata\Microsoft\Templates\NI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31393-E005-4A78-9CC3-A9DA8869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NIK</Template>
  <TotalTime>45</TotalTime>
  <Pages>42</Pages>
  <Words>15772</Words>
  <Characters>94886</Characters>
  <Application>Microsoft Office Word</Application>
  <DocSecurity>0</DocSecurity>
  <Lines>790</Lines>
  <Paragraphs>220</Paragraphs>
  <ScaleCrop>false</ScaleCrop>
  <HeadingPairs>
    <vt:vector size="2" baseType="variant">
      <vt:variant>
        <vt:lpstr>Title</vt:lpstr>
      </vt:variant>
      <vt:variant>
        <vt:i4>1</vt:i4>
      </vt:variant>
    </vt:vector>
  </HeadingPairs>
  <TitlesOfParts>
    <vt:vector size="1" baseType="lpstr">
      <vt:lpstr>wp</vt:lpstr>
    </vt:vector>
  </TitlesOfParts>
  <Company>University of Birmingham</Company>
  <LinksUpToDate>false</LinksUpToDate>
  <CharactersWithSpaces>110438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dc:title>
  <dc:subject/>
  <dc:creator>Rowbottom</dc:creator>
  <cp:keywords/>
  <dc:description/>
  <cp:lastModifiedBy>Nick Rowbottom (Accounting)</cp:lastModifiedBy>
  <cp:revision>6</cp:revision>
  <cp:lastPrinted>2020-12-07T13:04:00Z</cp:lastPrinted>
  <dcterms:created xsi:type="dcterms:W3CDTF">2022-10-07T13:41:00Z</dcterms:created>
  <dcterms:modified xsi:type="dcterms:W3CDTF">2022-10-07T14:25:00Z</dcterms:modified>
</cp:coreProperties>
</file>